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0" w:after="0"/>
        <w:ind w:firstLine="0"/>
        <w:jc w:val="center"/>
      </w:pPr>
      <w:r>
        <w:rPr>
          <w:b w:val="0"/>
          <w:sz w:val="28"/>
          <w:rFonts w:ascii="Times New Roman" w:hAnsi="Times New Roman" w:cs="Times New Roman" w:eastAsia="Times New Roman"/>
        </w:rPr>
        <w:t>Наименование вуза ____________________</w:t>
      </w:r>
    </w:p>
    <w:p>
      <w:pPr>
        <w:spacing w:line="240" w:lineRule="auto" w:before="120" w:after="0"/>
        <w:ind w:firstLine="0"/>
        <w:jc w:val="center"/>
      </w:pPr>
      <w:r>
        <w:rPr>
          <w:b w:val="0"/>
          <w:sz w:val="28"/>
          <w:rFonts w:ascii="Times New Roman" w:hAnsi="Times New Roman" w:cs="Times New Roman" w:eastAsia="Times New Roman"/>
        </w:rPr>
        <w:t>Кафедра ____________________</w:t>
      </w:r>
    </w:p>
    <w:p>
      <w:pPr>
        <w:spacing w:line="240" w:lineRule="auto" w:before="2400" w:after="0"/>
        <w:ind w:firstLine="0"/>
        <w:jc w:val="center"/>
      </w:pPr>
      <w:r>
        <w:rPr>
          <w:b/>
          <w:sz w:val="32"/>
          <w:rFonts w:ascii="Times New Roman" w:hAnsi="Times New Roman" w:cs="Times New Roman" w:eastAsia="Times New Roman"/>
        </w:rPr>
        <w:t>ВКР / диплом</w:t>
      </w:r>
    </w:p>
    <w:p>
      <w:pPr>
        <w:spacing w:line="240" w:lineRule="auto" w:before="240" w:after="0"/>
        <w:ind w:firstLine="0"/>
        <w:jc w:val="center"/>
      </w:pPr>
      <w:r>
        <w:rPr>
          <w:b/>
          <w:sz w:val="32"/>
          <w:rFonts w:ascii="Times New Roman" w:hAnsi="Times New Roman" w:cs="Times New Roman" w:eastAsia="Times New Roman"/>
        </w:rPr>
        <w:t>на тему: «Оценка направлений городской климатической адаптации по научным публикациям»</w:t>
      </w:r>
    </w:p>
    <w:p>
      <w:pPr>
        <w:spacing w:line="240" w:lineRule="auto" w:before="2400" w:after="0"/>
        <w:ind w:firstLine="0"/>
        <w:jc w:val="right"/>
      </w:pPr>
      <w:r>
        <w:rPr>
          <w:b w:val="0"/>
          <w:sz w:val="28"/>
          <w:rFonts w:ascii="Times New Roman" w:hAnsi="Times New Roman" w:cs="Times New Roman" w:eastAsia="Times New Roman"/>
        </w:rPr>
        <w:t>ФИО студента ____________________</w:t>
      </w:r>
    </w:p>
    <w:p>
      <w:pPr>
        <w:spacing w:line="240" w:lineRule="auto" w:before="120" w:after="0"/>
        <w:ind w:firstLine="0"/>
        <w:jc w:val="right"/>
      </w:pPr>
      <w:r>
        <w:rPr>
          <w:b w:val="0"/>
          <w:sz w:val="28"/>
          <w:rFonts w:ascii="Times New Roman" w:hAnsi="Times New Roman" w:cs="Times New Roman" w:eastAsia="Times New Roman"/>
        </w:rPr>
        <w:t>Группа ____________________</w:t>
      </w:r>
    </w:p>
    <w:p>
      <w:pPr>
        <w:spacing w:line="240" w:lineRule="auto" w:before="120" w:after="0"/>
        <w:ind w:firstLine="0"/>
        <w:jc w:val="right"/>
      </w:pPr>
      <w:r>
        <w:rPr>
          <w:b w:val="0"/>
          <w:sz w:val="28"/>
          <w:rFonts w:ascii="Times New Roman" w:hAnsi="Times New Roman" w:cs="Times New Roman" w:eastAsia="Times New Roman"/>
        </w:rPr>
        <w:t>Руководитель ____________________</w:t>
      </w:r>
    </w:p>
    <w:p>
      <w:pPr>
        <w:spacing w:line="240" w:lineRule="auto" w:before="2400" w:after="0"/>
        <w:ind w:firstLine="0"/>
        <w:jc w:val="center"/>
      </w:pPr>
      <w:r>
        <w:rPr>
          <w:b w:val="0"/>
          <w:sz w:val="28"/>
          <w:rFonts w:ascii="Times New Roman" w:hAnsi="Times New Roman" w:cs="Times New Roman" w:eastAsia="Times New Roman"/>
        </w:rPr>
        <w:t>2026</w:t>
      </w:r>
    </w:p>
    <w:p>
      <w:r>
        <w:br w:type="page"/>
      </w:r>
    </w:p>
    <w:p>
      <w:pPr>
        <w:spacing w:line="360" w:lineRule="auto" w:after="240"/>
        <w:ind w:firstLine="0"/>
        <w:jc w:val="center"/>
      </w:pPr>
      <w:r>
        <w:rPr>
          <w:b/>
          <w:sz w:val="28"/>
          <w:rFonts w:ascii="Times New Roman" w:hAnsi="Times New Roman" w:cs="Times New Roman" w:eastAsia="Times New Roman"/>
        </w:rPr>
        <w:t>Содержание</w:t>
      </w:r>
    </w:p>
    <w:p>
      <w:pPr>
        <w:spacing w:line="240" w:lineRule="auto"/>
        <w:ind w:firstLine="0"/>
      </w:pPr>
      <w:r>
        <w:rPr>
          <w:rFonts w:ascii="Times New Roman" w:hAnsi="Times New Roman"/>
          <w:sz w:val="28"/>
        </w:rPr>
        <w:fldChar w:fldCharType="begin"/>
        <w:instrText xml:space="preserve">TOC \o "1-3" \h \z \u</w:instrText>
        <w:fldChar w:fldCharType="separate"/>
      </w:r>
    </w:p>
    <w:p>
      <w:pPr>
        <w:spacing w:line="360" w:lineRule="auto" w:before="0" w:after="0"/>
        <w:ind w:firstLine="0" w:left="0"/>
        <w:tabs>
          <w:tab w:val="right" w:leader="dot" w:pos="9356"/>
        </w:tabs>
      </w:pPr>
      <w:r>
        <w:rPr>
          <w:b w:val="0"/>
          <w:sz w:val="28"/>
          <w:rFonts w:ascii="Times New Roman" w:hAnsi="Times New Roman" w:cs="Times New Roman" w:eastAsia="Times New Roman"/>
        </w:rPr>
        <w:t>Введение</w:t>
      </w:r>
      <w:r>
        <w:tab/>
      </w:r>
      <w:r>
        <w:rPr>
          <w:sz w:val="28"/>
          <w:rFonts w:ascii="Times New Roman" w:hAnsi="Times New Roman" w:cs="Times New Roman" w:eastAsia="Times New Roman"/>
        </w:rPr>
        <w:t>3</w:t>
      </w:r>
    </w:p>
    <w:p>
      <w:pPr>
        <w:spacing w:line="360" w:lineRule="auto" w:before="0" w:after="0"/>
        <w:ind w:firstLine="0" w:left="0"/>
        <w:tabs>
          <w:tab w:val="right" w:leader="dot" w:pos="9356"/>
        </w:tabs>
      </w:pPr>
      <w:r>
        <w:rPr>
          <w:b w:val="0"/>
          <w:sz w:val="28"/>
          <w:rFonts w:ascii="Times New Roman" w:hAnsi="Times New Roman" w:cs="Times New Roman" w:eastAsia="Times New Roman"/>
        </w:rPr>
        <w:t>1. Риски и направления адаптации</w:t>
      </w:r>
      <w:r>
        <w:tab/>
      </w:r>
      <w:r>
        <w:rPr>
          <w:sz w:val="28"/>
          <w:rFonts w:ascii="Times New Roman" w:hAnsi="Times New Roman" w:cs="Times New Roman" w:eastAsia="Times New Roman"/>
        </w:rPr>
        <w:t>9</w:t>
      </w:r>
    </w:p>
    <w:p>
      <w:pPr>
        <w:spacing w:line="360" w:lineRule="auto" w:before="0" w:after="0"/>
        <w:ind w:firstLine="0" w:left="709"/>
        <w:tabs>
          <w:tab w:val="right" w:leader="dot" w:pos="9356"/>
        </w:tabs>
      </w:pPr>
      <w:r>
        <w:rPr>
          <w:b w:val="0"/>
          <w:sz w:val="28"/>
          <w:rFonts w:ascii="Times New Roman" w:hAnsi="Times New Roman" w:cs="Times New Roman" w:eastAsia="Times New Roman"/>
        </w:rPr>
        <w:t>1.1. Городская уязвимость и ветровые риски</w:t>
      </w:r>
      <w:r>
        <w:tab/>
      </w:r>
      <w:r>
        <w:rPr>
          <w:sz w:val="28"/>
          <w:rFonts w:ascii="Times New Roman" w:hAnsi="Times New Roman" w:cs="Times New Roman" w:eastAsia="Times New Roman"/>
        </w:rPr>
        <w:t>9</w:t>
      </w:r>
    </w:p>
    <w:p>
      <w:pPr>
        <w:spacing w:line="360" w:lineRule="auto" w:before="0" w:after="0"/>
        <w:ind w:firstLine="0" w:left="709"/>
        <w:tabs>
          <w:tab w:val="right" w:leader="dot" w:pos="9356"/>
        </w:tabs>
      </w:pPr>
      <w:r>
        <w:rPr>
          <w:b w:val="0"/>
          <w:sz w:val="28"/>
          <w:rFonts w:ascii="Times New Roman" w:hAnsi="Times New Roman" w:cs="Times New Roman" w:eastAsia="Times New Roman"/>
        </w:rPr>
        <w:t>1.2. Меры адаптации и границы переноса результатов</w:t>
      </w:r>
      <w:r>
        <w:tab/>
      </w:r>
      <w:r>
        <w:rPr>
          <w:sz w:val="28"/>
          <w:rFonts w:ascii="Times New Roman" w:hAnsi="Times New Roman" w:cs="Times New Roman" w:eastAsia="Times New Roman"/>
        </w:rPr>
        <w:t>16</w:t>
      </w:r>
    </w:p>
    <w:p>
      <w:pPr>
        <w:spacing w:line="360" w:lineRule="auto" w:before="0" w:after="0"/>
        <w:ind w:firstLine="0" w:left="0"/>
        <w:tabs>
          <w:tab w:val="right" w:leader="dot" w:pos="9356"/>
        </w:tabs>
      </w:pPr>
      <w:r>
        <w:rPr>
          <w:b w:val="0"/>
          <w:sz w:val="28"/>
          <w:rFonts w:ascii="Times New Roman" w:hAnsi="Times New Roman" w:cs="Times New Roman" w:eastAsia="Times New Roman"/>
        </w:rPr>
        <w:t>2. Оценка и внедрение адаптационных мер</w:t>
      </w:r>
      <w:r>
        <w:tab/>
      </w:r>
      <w:r>
        <w:rPr>
          <w:sz w:val="28"/>
          <w:rFonts w:ascii="Times New Roman" w:hAnsi="Times New Roman" w:cs="Times New Roman" w:eastAsia="Times New Roman"/>
        </w:rPr>
        <w:t>24</w:t>
      </w:r>
    </w:p>
    <w:p>
      <w:pPr>
        <w:spacing w:line="360" w:lineRule="auto" w:before="0" w:after="0"/>
        <w:ind w:firstLine="0" w:left="709"/>
        <w:tabs>
          <w:tab w:val="right" w:leader="dot" w:pos="9356"/>
        </w:tabs>
      </w:pPr>
      <w:r>
        <w:rPr>
          <w:b w:val="0"/>
          <w:sz w:val="28"/>
          <w:rFonts w:ascii="Times New Roman" w:hAnsi="Times New Roman" w:cs="Times New Roman" w:eastAsia="Times New Roman"/>
        </w:rPr>
        <w:t>2.1. ГИС и зелёная инфраструктура</w:t>
      </w:r>
      <w:r>
        <w:tab/>
      </w:r>
      <w:r>
        <w:rPr>
          <w:sz w:val="28"/>
          <w:rFonts w:ascii="Times New Roman" w:hAnsi="Times New Roman" w:cs="Times New Roman" w:eastAsia="Times New Roman"/>
        </w:rPr>
        <w:t>24</w:t>
      </w:r>
    </w:p>
    <w:p>
      <w:pPr>
        <w:spacing w:line="360" w:lineRule="auto" w:before="0" w:after="0"/>
        <w:ind w:firstLine="0" w:left="709"/>
        <w:tabs>
          <w:tab w:val="right" w:leader="dot" w:pos="9356"/>
        </w:tabs>
      </w:pPr>
      <w:r>
        <w:rPr>
          <w:b w:val="0"/>
          <w:sz w:val="28"/>
          <w:rFonts w:ascii="Times New Roman" w:hAnsi="Times New Roman" w:cs="Times New Roman" w:eastAsia="Times New Roman"/>
        </w:rPr>
        <w:t>2.2. Валидация результатов оценки</w:t>
      </w:r>
      <w:r>
        <w:tab/>
      </w:r>
      <w:r>
        <w:rPr>
          <w:sz w:val="28"/>
          <w:rFonts w:ascii="Times New Roman" w:hAnsi="Times New Roman" w:cs="Times New Roman" w:eastAsia="Times New Roman"/>
        </w:rPr>
        <w:t>30</w:t>
      </w:r>
    </w:p>
    <w:p>
      <w:pPr>
        <w:spacing w:line="360" w:lineRule="auto" w:before="0" w:after="0"/>
        <w:ind w:firstLine="0" w:left="709"/>
        <w:tabs>
          <w:tab w:val="right" w:leader="dot" w:pos="9356"/>
        </w:tabs>
      </w:pPr>
      <w:r>
        <w:rPr>
          <w:b w:val="0"/>
          <w:sz w:val="28"/>
          <w:rFonts w:ascii="Times New Roman" w:hAnsi="Times New Roman" w:cs="Times New Roman" w:eastAsia="Times New Roman"/>
        </w:rPr>
        <w:t>2.3. Барьеры и условия внедрения</w:t>
      </w:r>
      <w:r>
        <w:tab/>
      </w:r>
      <w:r>
        <w:rPr>
          <w:sz w:val="28"/>
          <w:rFonts w:ascii="Times New Roman" w:hAnsi="Times New Roman" w:cs="Times New Roman" w:eastAsia="Times New Roman"/>
        </w:rPr>
        <w:t>37</w:t>
      </w:r>
    </w:p>
    <w:p>
      <w:pPr>
        <w:spacing w:line="360" w:lineRule="auto" w:before="0" w:after="0"/>
        <w:ind w:firstLine="0" w:left="0"/>
        <w:tabs>
          <w:tab w:val="right" w:leader="dot" w:pos="9356"/>
        </w:tabs>
      </w:pPr>
      <w:r>
        <w:rPr>
          <w:b w:val="0"/>
          <w:sz w:val="28"/>
          <w:rFonts w:ascii="Times New Roman" w:hAnsi="Times New Roman" w:cs="Times New Roman" w:eastAsia="Times New Roman"/>
        </w:rPr>
        <w:t>3. Сравнение подходов и ограничения анализа</w:t>
      </w:r>
      <w:r>
        <w:tab/>
      </w:r>
      <w:r>
        <w:rPr>
          <w:sz w:val="28"/>
          <w:rFonts w:ascii="Times New Roman" w:hAnsi="Times New Roman" w:cs="Times New Roman" w:eastAsia="Times New Roman"/>
        </w:rPr>
        <w:t>45</w:t>
      </w:r>
    </w:p>
    <w:p>
      <w:pPr>
        <w:spacing w:line="360" w:lineRule="auto" w:before="0" w:after="0"/>
        <w:ind w:firstLine="0" w:left="709"/>
        <w:tabs>
          <w:tab w:val="right" w:leader="dot" w:pos="9356"/>
        </w:tabs>
      </w:pPr>
      <w:r>
        <w:rPr>
          <w:b w:val="0"/>
          <w:sz w:val="28"/>
          <w:rFonts w:ascii="Times New Roman" w:hAnsi="Times New Roman" w:cs="Times New Roman" w:eastAsia="Times New Roman"/>
        </w:rPr>
        <w:t>3.1. Критерии сопоставления опубликованных результатов</w:t>
      </w:r>
      <w:r>
        <w:tab/>
      </w:r>
      <w:r>
        <w:rPr>
          <w:sz w:val="28"/>
          <w:rFonts w:ascii="Times New Roman" w:hAnsi="Times New Roman" w:cs="Times New Roman" w:eastAsia="Times New Roman"/>
        </w:rPr>
        <w:t>45</w:t>
      </w:r>
    </w:p>
    <w:p>
      <w:pPr>
        <w:spacing w:line="360" w:lineRule="auto" w:before="0" w:after="0"/>
        <w:ind w:firstLine="0" w:left="709"/>
        <w:tabs>
          <w:tab w:val="right" w:leader="dot" w:pos="9356"/>
        </w:tabs>
      </w:pPr>
      <w:r>
        <w:rPr>
          <w:b w:val="0"/>
          <w:sz w:val="28"/>
          <w:rFonts w:ascii="Times New Roman" w:hAnsi="Times New Roman" w:cs="Times New Roman" w:eastAsia="Times New Roman"/>
        </w:rPr>
        <w:t>3.2. Рекомендации и границы применимости</w:t>
      </w:r>
      <w:r>
        <w:tab/>
      </w:r>
      <w:r>
        <w:rPr>
          <w:sz w:val="28"/>
          <w:rFonts w:ascii="Times New Roman" w:hAnsi="Times New Roman" w:cs="Times New Roman" w:eastAsia="Times New Roman"/>
        </w:rPr>
        <w:t>52</w:t>
      </w:r>
    </w:p>
    <w:p>
      <w:pPr>
        <w:spacing w:line="360" w:lineRule="auto" w:before="0" w:after="0"/>
        <w:ind w:firstLine="0" w:left="0"/>
        <w:tabs>
          <w:tab w:val="right" w:leader="dot" w:pos="9356"/>
        </w:tabs>
      </w:pPr>
      <w:r>
        <w:rPr>
          <w:b w:val="0"/>
          <w:sz w:val="28"/>
          <w:rFonts w:ascii="Times New Roman" w:hAnsi="Times New Roman" w:cs="Times New Roman" w:eastAsia="Times New Roman"/>
        </w:rPr>
        <w:t>Заключение</w:t>
      </w:r>
      <w:r>
        <w:tab/>
      </w:r>
      <w:r>
        <w:rPr>
          <w:sz w:val="28"/>
          <w:rFonts w:ascii="Times New Roman" w:hAnsi="Times New Roman" w:cs="Times New Roman" w:eastAsia="Times New Roman"/>
        </w:rPr>
        <w:t>61</w:t>
      </w:r>
    </w:p>
    <w:p>
      <w:pPr>
        <w:spacing w:line="360" w:lineRule="auto" w:before="0" w:after="0"/>
        <w:ind w:firstLine="0" w:left="0"/>
        <w:tabs>
          <w:tab w:val="right" w:leader="dot" w:pos="9356"/>
        </w:tabs>
      </w:pPr>
      <w:r>
        <w:rPr>
          <w:b w:val="0"/>
          <w:sz w:val="28"/>
          <w:rFonts w:ascii="Times New Roman" w:hAnsi="Times New Roman" w:cs="Times New Roman" w:eastAsia="Times New Roman"/>
        </w:rPr>
        <w:t>Список использованных источников</w:t>
      </w:r>
      <w:r>
        <w:tab/>
      </w:r>
      <w:r>
        <w:rPr>
          <w:sz w:val="28"/>
          <w:rFonts w:ascii="Times New Roman" w:hAnsi="Times New Roman" w:cs="Times New Roman" w:eastAsia="Times New Roman"/>
        </w:rPr>
        <w:t>66</w:t>
      </w:r>
      <w:r>
        <w:fldChar w:fldCharType="end"/>
      </w:r>
    </w:p>
    <w:p>
      <w:pPr>
        <w:pStyle w:val="Heading1"/>
        <w:pageBreakBefore/>
      </w:pPr>
      <w:r>
        <w:t>Введение</w:t>
      </w:r>
    </w:p>
    <w:p>
      <w:bookmarkStart w:id="25" w:name="sc_body_25"/>
      <w:pPr/>
      <w:r>
        <w:t>Цель настоящей выпускной квалификационной работы — оценить направления городской климатической адаптации по научным публикациям, сохраняя границы опубликованных результатов. Рассматриваются снижение социальной уязвимости, работа с зелёной инфраструктурой, организационное обеспечение и оценка адаптационной политики.</w:t>
      </w:r>
      <w:bookmarkEnd w:id="25"/>
    </w:p>
    <w:p>
      <w:bookmarkStart w:id="26" w:name="sc_body_26"/>
      <w:pPr/>
      <w:r>
        <w:t>Сопоставление направлений строится через вопросы об основании выбора и условиях применения. Работа имеет обзорно-аналитический характер; собственные измерения, опросы и испытание городской программы не выполнялись.</w:t>
      </w:r>
      <w:bookmarkEnd w:id="26"/>
    </w:p>
    <w:p>
      <w:bookmarkStart w:id="27" w:name="sc_body_27"/>
      <w:pPr/>
      <w:r>
        <w:t>Объект рассмотрения — направления городской климатической адаптации в выбранных научных исследованиях. Предмет работы — основания выбора между направлением пространственного вмешательства, поддержкой доступности помощи и организацией адаптационной политики.</w:t>
      </w:r>
      <w:bookmarkEnd w:id="27"/>
    </w:p>
    <w:p>
      <w:bookmarkStart w:id="28" w:name="sc_body_28"/>
      <w:pPr/>
      <w:r>
        <w:t>Предлагается оценивать не только содержание действия, но и соответствие доказательства практическому вопросу. Итогом должна стать условная схема выбора направления с явным указанием того, какое дополнительное основание потребуется перед реализацией.</w:t>
      </w:r>
      <w:bookmarkEnd w:id="28"/>
    </w:p>
    <w:p>
      <w:bookmarkStart w:id="29" w:name="sc_body_29"/>
      <w:pPr/>
      <w:r>
        <w:t>В качестве исследовательского вопроса предлагается следующая формулировка: какие основания нужны, чтобы перейти от описания риска к выбору направления адаптации и не смешать результат измерения, мнение участника, расчётную оценку и авторское предложение?</w:t>
      </w:r>
      <w:bookmarkEnd w:id="29"/>
    </w:p>
    <w:p>
      <w:bookmarkStart w:id="30" w:name="sc_body_30"/>
      <w:pPr/>
      <w:r>
        <w:t>Ответ строится через разбор конкретных методических операций. К каждой операции предъявляется требование: читатель должен понимать, что было исходным материалом, какое преобразование выполнено и какая неопределённость остаётся.</w:t>
      </w:r>
      <w:bookmarkEnd w:id="30"/>
    </w:p>
    <w:p>
      <w:bookmarkStart w:id="31" w:name="sc_body_31"/>
      <w:pPr/>
      <w:r>
        <w:t>Задачи работы включают разграничение видов свидетельств, рассмотрение социальной уязвимости в разделе о ветровых рисках, разбор пространственного анализа зелёной инфраструктуры, анализ проверок обоснованности и обсуждение условий внедрения. Затем предлагается объединить результаты чтения в критерии сопоставления и рекомендации по применимости. Эти задачи задают последовательность глав; ни одна из них не предполагает получения собственного эмпирического эффекта.</w:t>
      </w:r>
      <w:bookmarkEnd w:id="31"/>
    </w:p>
    <w:p>
      <w:bookmarkStart w:id="32" w:name="sc_body_32"/>
      <w:pPr/>
      <w:r>
        <w:t>Метод работы определяется как сопоставительный методологический обзор ограниченного корпуса первичных исследований. Здесь не заявляются исчерпывающий поиск мировой литературы, представительность отбора или статистическое объединение результатов.</w:t>
      </w:r>
      <w:bookmarkEnd w:id="32"/>
    </w:p>
    <w:p>
      <w:bookmarkStart w:id="33" w:name="sc_body_33"/>
      <w:pPr/>
      <w:r>
        <w:t>Публикации рассматриваются как разные способы построения доказательства. Критерием включения служит возможность подробно связать вопрос, материал, метод, результат и ограничение, а не возможность привести эффектную итоговую цифру.</w:t>
      </w:r>
      <w:bookmarkEnd w:id="33"/>
    </w:p>
    <w:p>
      <w:bookmarkStart w:id="34" w:name="sc_body_34"/>
      <w:pPr/>
      <w:r>
        <w:t>Для отделения пересказа от интерпретации предлагается последовательно располагать сообщение о публикации и аналитический комментарий. В пересказе следует сохранять точный предмет наблюдения, способ получения результата и обозначенное ограничение. Ссылка относится к описанию исходной работы; самостоятельное предложение формулируется отдельно. Авторская интерпретация не должна присваивать источнику новый смысл или усиливать его вывод ради краткости.</w:t>
      </w:r>
      <w:bookmarkEnd w:id="34"/>
    </w:p>
    <w:p>
      <w:bookmarkStart w:id="35" w:name="sc_body_35"/>
      <w:pPr/>
      <w:r>
        <w:t>Самостоятельный вклад работы понимается как построение правил сопоставления. Предлагаемые карточки доказательства, решения об остановке переноса, порядок повторной проверки и форма протокола относятся к авторским предложениям. Они не описывают уже внедрённый городской механизм и не получают статуса проверенных рекомендаций только вследствие подробности изложения. Для их практической апробации потребовалось бы отдельное исследование.</w:t>
      </w:r>
      <w:bookmarkEnd w:id="35"/>
    </w:p>
    <w:p>
      <w:bookmarkStart w:id="36" w:name="sc_body_36"/>
      <w:pPr/>
      <w:r>
        <w:t>В обсуждении принимается рабочее различие между обнаружением проблемы, оценкой осуществимости, пространственным моделированием и оценкой изменения после политики. Это различие задаётся автором как способ организации обзора.</w:t>
      </w:r>
      <w:bookmarkEnd w:id="36"/>
    </w:p>
    <w:p>
      <w:bookmarkStart w:id="37" w:name="sc_body_37"/>
      <w:pPr/>
      <w:r>
        <w:t>Оно не устанавливает иерархию научной ценности и не делает какой-либо подход автоматически предпочтительным. Решение о пригодности предлагается принимать относительно вопроса, на который требуется ответ, а не относительно сложности названия метода.</w:t>
      </w:r>
      <w:bookmarkEnd w:id="37"/>
    </w:p>
    <w:p>
      <w:bookmarkStart w:id="38" w:name="sc_body_38"/>
      <w:pPr/>
      <w:r>
        <w:t>Ожидаемый практический результат формулируется как проект процедуры предварительной экспертизы рекомендации. Предполагаемый пользователь процедуры должен получить возможность остановить переход к решению, если исходный материал отвечает на другой вопрос. Такой отказ также рассматривается как содержательный результат анализа. У процедуры в этой работе нет измеренной эффективности, утверждённого регламента или доказанной применимости к конкретному органу управления.</w:t>
      </w:r>
      <w:bookmarkEnd w:id="38"/>
    </w:p>
    <w:p>
      <w:bookmarkStart w:id="39" w:name="sc_body_39"/>
      <w:pPr/>
      <w:r>
        <w:t>При чтении дальнейших разделов следует различать границу источника и границу авторского предложения. Первая задаётся тем, кого, что и каким способом изучали авторы публикации. Вторая задаётся условиями, при которых предлагаемый в этой работе порядок проверки мог бы использоваться. Смешение этих границ сделало бы обзор внешне убедительным, но лишило бы читателя возможности проверить переход от знания к рекомендации.</w:t>
      </w:r>
      <w:bookmarkEnd w:id="39"/>
    </w:p>
    <w:p>
      <w:bookmarkStart w:id="40" w:name="sc_body_40"/>
      <w:pPr/>
      <w:r>
        <w:t>Исследование осуществимости в Пуэрто-Морасане посвящено сельскому хозяйству и животноводству; авторы соединяют местное экспертное знание с участием заинтересованных лиц и показывают изменение оценки при учёте местных приоритетов. Для этой ВКР оно включено как методический случай оценки условий реализации. Опубликованный предмет исследования не является испытанием эффективности городской меры. [1]</w:t>
      </w:r>
      <w:bookmarkEnd w:id="40"/>
    </w:p>
    <w:p>
      <w:bookmarkStart w:id="41" w:name="sc_body_41"/>
      <w:pPr/>
      <w:r>
        <w:t>В работе о местной осуществимости важна сама постановка задачи: выяснить условия реализации, а не измерить предотвращённый ущерб. Для настоящего обзора это основание выделить самостоятельную карточку осуществимости. Её результатом предлагается считать описание препятствий и приоритетов, которое ещё не разрешает записывать ожидаемое воздействие в графу наблюдённого эффекта.</w:t>
      </w:r>
      <w:bookmarkEnd w:id="41"/>
    </w:p>
    <w:p>
      <w:bookmarkStart w:id="42" w:name="sc_body_42"/>
      <w:pPr/>
      <w:r>
        <w:t>Предлагается переносить из такого исследования логику постановки вопросов, сохраняя самостоятельную проверку городской предметной области. Если обзорщик хочет использовать оценку приоритетов в другом месте, ему следует заново сформулировать участников, варианты решения и основание выбора критериев. Заимствование структуры обсуждения не должно превращаться в заимствование исходного ранжирования.</w:t>
      </w:r>
      <w:bookmarkEnd w:id="42"/>
    </w:p>
    <w:p>
      <w:bookmarkStart w:id="43" w:name="sc_body_43"/>
      <w:pPr/>
      <w:r>
        <w:t>Качественное исследование Доминики основано на опыте и перспективах людей, перемещённых, переселённых или мигрировавших после шторма и урагана. Авторы рассматривают мобильность, потери и вопросы здоровья через характеристики местной адаптивной способности. В настоящем обзоре этот материал используется для рассмотрения социальной уязвимости; технические свойства ветровой защиты он не измеряет. [2]</w:t>
      </w:r>
      <w:bookmarkEnd w:id="43"/>
    </w:p>
    <w:p>
      <w:bookmarkStart w:id="44" w:name="sc_body_44"/>
      <w:pPr/>
      <w:r>
        <w:t>В разборе социальной уязвимости предлагается внимательно сохранять статус высказывания участника. Карточка такого свидетельства должна отвечать на вопрос, чья перспектива представлена и о каком опыте идёт речь. В рамках обзора рассказ о пережитом событии получает право на подробное рассмотрение, но не подменяет собой расчёт физических характеристик опасности.</w:t>
      </w:r>
      <w:bookmarkEnd w:id="44"/>
    </w:p>
    <w:p>
      <w:bookmarkStart w:id="45" w:name="sc_body_45"/>
      <w:pPr/>
      <w:r>
        <w:t>Авторская задача здесь состоит в сохранении связи между человеком, обстоятельством и интерпретацией. В протоколе обзора предлагается не отделять удобную цитату от описания исследуемой группы. Если последнее исключено ради краткости, читатель может принять частное свидетельство за характеристику всех жителей. Поэтому краткое изложение должно сокращать детали, сохраняя предел обобщения.</w:t>
      </w:r>
      <w:bookmarkEnd w:id="45"/>
    </w:p>
    <w:p>
      <w:bookmarkStart w:id="46" w:name="sc_body_46"/>
      <w:pPr/>
      <w:r>
        <w:t>В исследовании Тегерана использованы спутниковые данные и расчёт связности зелёных пространств. Авторы сопоставляют тепловую структуру и конфигурацию озеленения, выделяют холодные ядра и моделируют связи между ними. Для обзора существенно, что речь идёт о пространственном наблюдении и моделировании: опубликованная процедура не является собственным испытанием нового вмешательства, выполненным в данной ВКР. [3]</w:t>
      </w:r>
      <w:bookmarkEnd w:id="46"/>
    </w:p>
    <w:p>
      <w:bookmarkStart w:id="47" w:name="sc_body_47"/>
      <w:pPr/>
      <w:r>
        <w:t>Пространственное исследование в настоящем обзоре предлагается читать как последовательность построения представлений о территории. Для каждого изображения потребуется отдельный вопрос: что непосредственно измерено, что классифицировано, а что получено как результат модели? Употребление общего слова «карта» в такой процедуре недостаточно, поскольку оно не объясняет происхождение показанного различия.</w:t>
      </w:r>
      <w:bookmarkEnd w:id="47"/>
    </w:p>
    <w:p>
      <w:bookmarkStart w:id="48" w:name="sc_body_48"/>
      <w:pPr/>
      <w:r>
        <w:t>При обсуждении практического решения предлагается сохранять промежуточные переходы между исходным наблюдением и выделенным приоритетом. Итоговую схему не следует читать как готовое разрешение на вмешательство. Авторское предложение состоит в том, чтобы сначала проверять способ её получения и лишь затем обсуждать, какое дополнительное наблюдение потребовалось бы для выбора проектного действия.</w:t>
      </w:r>
      <w:bookmarkEnd w:id="48"/>
    </w:p>
    <w:p>
      <w:bookmarkStart w:id="49" w:name="sc_body_49"/>
      <w:pPr/>
      <w:r>
        <w:t>В китайском исследовании рассматривается программа климатически адаптивных городов на панельном материале бассейна Хуанхэ. Авторы используют Synthetic DID и сообщают положительную оценку изменения городского показателя климатической устойчивости, а также обсуждают посреднические и модераторные связи. Этот источник включён как пример оценки политики; его результат сохраняется в предметной области и шкале самого исследования. [4]</w:t>
      </w:r>
      <w:bookmarkEnd w:id="49"/>
    </w:p>
    <w:p>
      <w:bookmarkStart w:id="50" w:name="sc_body_50"/>
      <w:pPr/>
      <w:r>
        <w:t>Политическая оценка требует иной карточки, чем описание территории. В ней предлагается фиксировать сравнение, относительно которого формулируется результат. В обзоре не предполагается пересчитывать опубликованную модель или считать её оценку собственным результатом. Рассматривается прежде всего достаточность объяснения того, как авторы связывают наблюдаемое изменение с предметом оценки.</w:t>
      </w:r>
      <w:bookmarkEnd w:id="50"/>
    </w:p>
    <w:p>
      <w:bookmarkStart w:id="51" w:name="sc_body_51"/>
      <w:pPr/>
      <w:r>
        <w:t>Для сопоставления предлагается удерживать рядом вывод и условия его получения. Положительное направление оценки само по себе не должно определять силу практической рекомендации. В авторской процедуре отдельный вопрос отводится тому, можно ли вообще поставить сходное сравнение в предполагаемой области применения и что останется за пределами такого сравнения.</w:t>
      </w:r>
      <w:bookmarkEnd w:id="51"/>
    </w:p>
    <w:p>
      <w:bookmarkStart w:id="52" w:name="sc_body_52"/>
      <w:pPr/>
      <w:r>
        <w:t>Сравнительный обзор городских планов рассматривает участие общественного здравоохранения в картировании, подготовке и реагировании, планах на случай жары, иных предупреждениях и мониторинге. Исследуемые города заранее выбраны как активно ориентированные на вопросы здоровья. Поэтому уже сама характеристика корпуса должна сохраняться при изложении результата; это обзор определённой группы планов, а не описание всех городов. [5]</w:t>
      </w:r>
      <w:bookmarkEnd w:id="52"/>
    </w:p>
    <w:p>
      <w:bookmarkStart w:id="53" w:name="sc_body_53"/>
      <w:pPr/>
      <w:r>
        <w:t>Документальный обзор планов вводится в работу как самостоятельный вид свидетельства. В авторском протоколе ему следует отводить вопрос о том, что и как сформулировано в изученных документах. Переход к утверждению о реально выполненной работе предлагается останавливать до появления соответствующего материала. Наличие намерения и подтверждение исполнения должны получить разные поля карточки.</w:t>
      </w:r>
      <w:bookmarkEnd w:id="53"/>
    </w:p>
    <w:p>
      <w:bookmarkStart w:id="54" w:name="sc_body_54"/>
      <w:pPr/>
      <w:r>
        <w:t>Введение разных карточек не означает, что источники нельзя обсуждать вместе. Напротив, общим предметом сопоставления предлагается сделать путь от вопроса к допустимому выводу. Дальнейшие главы раскрывают этот путь по отдельным задачам, после чего заключение формулирует условия использования самой обзорной процедуры. Итог сохраняет характер методического предложения, а не готовой оценки ненаблюдавшегося города.</w:t>
      </w:r>
      <w:bookmarkEnd w:id="54"/>
    </w:p>
    <w:p>
      <w:pPr>
        <w:pStyle w:val="Heading1"/>
        <w:pageBreakBefore/>
      </w:pPr>
      <w:r>
        <w:t>1. Риски и направления адаптации</w:t>
      </w:r>
    </w:p>
    <w:p>
      <w:pPr>
        <w:pStyle w:val="Heading2"/>
      </w:pPr>
      <w:r>
        <w:t>1.1. Городская уязвимость и ветровые риски</w:t>
      </w:r>
    </w:p>
    <w:p>
      <w:bookmarkStart w:id="57" w:name="sc_body_57"/>
      <w:pPr/>
      <w:r>
        <w:t>Раздел о городской уязвимости и ветровых рисках ограничивается рассмотрением социального опыта климатического экстремума и требований к его интерпретации. Здесь не рассчитываются ветровая нагрузка, аэродинамика застройки, прочность конструкций или эффективность растительного барьера. Авторское предложение состоит в том, чтобы сначала установить, какая часть вопроса об уязвимости доступна выбранному способу исследования, а затем явно обозначить недостающую часть доказательства.</w:t>
      </w:r>
      <w:bookmarkEnd w:id="57"/>
    </w:p>
    <w:p>
      <w:bookmarkStart w:id="58" w:name="sc_body_58"/>
      <w:pPr/>
      <w:r>
        <w:t>Авторы исследования Доминики описывают руководство для интервью как подготовленное исследовательской группой на основе исходных рамок. Вопросы включали уязвимость и подверженность изменениям среды, адаптивную способность и здоровье. Фокус статьи уточнён как высказывания респондентов о климатических перспективах, адаптации и рисках через рассмотрение социальной уязвимости; определения давались при необходимости прояснения вопроса. [2]</w:t>
      </w:r>
      <w:bookmarkEnd w:id="58"/>
    </w:p>
    <w:p>
      <w:bookmarkStart w:id="59" w:name="sc_body_59"/>
      <w:pPr/>
      <w:r>
        <w:t>Предлагается начинать чтение интервью не с наиболее выразительного ответа, а с устройства вопроса. В карточке обзора нужно сохранить круг тем и способ уточнения понятий. Это позволит обсуждать ответ как ответ в определённом исследовательском разговоре. При такой организации нельзя незаметно превратить рассказ о пережитом в самостоятельное измерение опасности или предписания по её инженерному устранению.</w:t>
      </w:r>
      <w:bookmarkEnd w:id="59"/>
    </w:p>
    <w:p>
      <w:bookmarkStart w:id="60" w:name="sc_body_60"/>
      <w:pPr/>
      <w:r>
        <w:t>Для собственного возможного исследования автор предлагает предварительно разделить вопросы об опыте события, доступе к помощи и ожиданиях от восстановления. Совпадение тем в одном интервью не должно давать разрешение объединить их в общий показатель без дополнительного обоснования. Сначала потребуется определить, какой вопрос обслуживает каждый фрагмент и какие альтернативные трактовки ответа сохраняются.</w:t>
      </w:r>
      <w:bookmarkEnd w:id="60"/>
    </w:p>
    <w:p>
      <w:bookmarkStart w:id="61" w:name="sc_body_61"/>
      <w:pPr/>
      <w:r>
        <w:t>Участие в исследовании Доминики требовало опыта внутреннего либо внешнего перемещения вследствие климатического экстремума и достижения указанного авторами возраста. Стратегия отбора учитывала разнообразие характеристик и путей мобильности. Авторы сообщают 25 участников и 23 интервью. Следовательно, приведённые рассказы принадлежат отобранным случаям перемещения; вывод о частоте таких представлений среди всех жителей статья этой процедурой не получает. [2]</w:t>
      </w:r>
      <w:bookmarkEnd w:id="61"/>
    </w:p>
    <w:p>
      <w:bookmarkStart w:id="62" w:name="sc_body_62"/>
      <w:pPr/>
      <w:r>
        <w:t>Описание отбора следует читать как часть содержания результата. В предлагаемой карточке нужно указывать не только присутствующую группу, но и логическое условие попадания в неё. Иначе вывод будет выглядеть как рассказ о населении вообще. Для раздела об уязвимости существенно сохранять различие между опытом пострадавшего участника и описанием всех возможных путей переживания опасности.</w:t>
      </w:r>
      <w:bookmarkEnd w:id="62"/>
    </w:p>
    <w:p>
      <w:bookmarkStart w:id="63" w:name="sc_body_63"/>
      <w:pPr/>
      <w:r>
        <w:t>При проектировании дальнейшего городского опроса предлагается отдельно сформулировать, чьи случаи не попадают под выбранное условие отбора. Это не попытка дописать недостающие ответы за отсутствующих участников. Напротив, такая запись должна остановить обобщение, пока не определён способ получения их свидетельств. В рамках настоящей работы отсутствующие случаи остаются вопросом к будущему проекту, а не частью результата.</w:t>
      </w:r>
      <w:bookmarkEnd w:id="63"/>
    </w:p>
    <w:p>
      <w:bookmarkStart w:id="64" w:name="sc_body_64"/>
      <w:pPr/>
      <w:r>
        <w:t>Контакт с участниками на Доминике устанавливался через ключевых представителей сообществ, включая работников здравоохранения и местных советов; использовался также поиск последующих участников через уже установленные связи. Авторы сообщают о поддержке местных исследовательских партнёров и консульства при поиске людей, перемещённых на Гваделупу. Указанные способы описывают путь получения интервью, а не случайную выборку городского населения. [2]</w:t>
      </w:r>
      <w:bookmarkEnd w:id="64"/>
    </w:p>
    <w:p>
      <w:bookmarkStart w:id="65" w:name="sc_body_65"/>
      <w:pPr/>
      <w:r>
        <w:t>Путь к участнику предлагается рассматривать как самостоятельный объект методической проверки. В карточке нужно сохранить, кто помогал устанавливать контакт и каким образом продолжался поиск. В обзоре это позволяет задать вопрос о границе доступного опыта, не объявляя сам по себе способ контакта недостатком. Критика должна касаться допустимости вывода, а не произвольного ранжирования исследовательских техник.</w:t>
      </w:r>
      <w:bookmarkEnd w:id="65"/>
    </w:p>
    <w:p>
      <w:bookmarkStart w:id="66" w:name="sc_body_66"/>
      <w:pPr/>
      <w:r>
        <w:t>Автор предлагает при будущем применении вести отдельную запись решений о приглашении и об отказе от участия. Такая запись могла бы сделать выбор участников более прозрачным для исследователя, однако её полезность здесь не проверялась. Она не должна содержать вымышленных отказов и не может достраивать отсутствующую статистику. В обзорной работе достаточно обозначить, какие сведения нужны для оценки отбора.</w:t>
      </w:r>
      <w:bookmarkEnd w:id="66"/>
    </w:p>
    <w:p>
      <w:bookmarkStart w:id="67" w:name="sc_body_67"/>
      <w:pPr/>
      <w:r>
        <w:t>Интервью в исследовании Доминики были расшифрованы с последующим ручным исправлением. Участников обезличили, присвоив им номера, а расшифровки перенесли в программу для обработки и кодирования. Авторы прямо обозначают предмет анализа как местную адаптивную способность к климатическим экстремумам и связанные риски. Поэтому цитируемый в статье материал является обработанной расшифровкой интервью, а не записью инструментального наблюдения ветра. [2]</w:t>
      </w:r>
      <w:bookmarkEnd w:id="67"/>
    </w:p>
    <w:p>
      <w:bookmarkStart w:id="68" w:name="sc_body_68"/>
      <w:pPr/>
      <w:r>
        <w:t>Между устным ответом и цитатой в исследовании предлагается прослеживать цепочку обработки. Для обзора важен вопрос, какой текст фактически анализировался. Если исследователь использует исправленную расшифровку, описание исправления должно оставаться рядом с характеристикой материала. Авторский протокол не требует воспроизводить персональные сведения, но требует не скрывать промежуточную работу с высказыванием.</w:t>
      </w:r>
      <w:bookmarkEnd w:id="68"/>
    </w:p>
    <w:p>
      <w:bookmarkStart w:id="69" w:name="sc_body_69"/>
      <w:pPr/>
      <w:r>
        <w:t>В проект будущего анализа предлагается включить журнал неоднозначных мест расшифровки. Решение о том, считать ли фрагмент самостоятельной темой, следовало бы отделять от решения о том, как услышано слово. Такая граница не гарантирует правильность интерпретации; она только задаёт возможность проверить, на каком этапе возникло расхождение. Подмена отсутствующей записи догадкой в предлагаемой процедуре запрещается.</w:t>
      </w:r>
      <w:bookmarkEnd w:id="69"/>
    </w:p>
    <w:p>
      <w:bookmarkStart w:id="70" w:name="sc_body_70"/>
      <w:pPr/>
      <w:r>
        <w:t>В статье Доминики описан анализ с дедуктивным и индуктивным элементами. Исходный список кодов опирался на исследовательские рамки и допускал появление кодов из самих данных; затем анализ углублялся в отношении адаптивной способности, реакции и внешних факторов. Темы перспектив участников, социальной сплочённости, рекомендаций и политических препятствий выделялись в ходе этой аналитической работы. [2]</w:t>
      </w:r>
      <w:bookmarkEnd w:id="70"/>
    </w:p>
    <w:p>
      <w:bookmarkStart w:id="71" w:name="sc_body_71"/>
      <w:pPr/>
      <w:r>
        <w:t>При чтении тематического анализа предлагается сохранять различие между исходной рамкой и темой, выделенной в материале. В собственной карточке обзора следует указать, на каком основании сделан переход от отдельных высказываний к обобщающему названию. Если такое основание нельзя восстановить по публикации, это нужно записать как ограничение доступного описания, не приписывая авторам отсутствующие действия.</w:t>
      </w:r>
      <w:bookmarkEnd w:id="71"/>
    </w:p>
    <w:p>
      <w:bookmarkStart w:id="72" w:name="sc_body_72"/>
      <w:pPr/>
      <w:r>
        <w:t>Для дальнейшей проверки автор предлагает хранить рядом с каждой темой примеры подтверждающих и противоречащих фрагментов. Это проект правила анализа, а не сообщение о выполненной повторной кодировке. Его смысл — не получить заранее согласованный список тем, а сделать видимой возможность иного чтения. Согласие исследователей в таком проекте не должно заменять объяснение причины выбранной интерпретации.</w:t>
      </w:r>
      <w:bookmarkEnd w:id="72"/>
    </w:p>
    <w:p>
      <w:bookmarkStart w:id="73" w:name="sc_body_73"/>
      <w:pPr/>
      <w:r>
        <w:t>В рассказе, приведённом в статье Доминики, участница объясняла решение остаться у родственницы тем, что считала её дом более прочным. Авторы также сообщают о финансовых и материальных ограничениях восстановления жилья и связывают возможность восстановления, по результатам своих интервью, с доступом к поддержке и ресурсам. Этот фрагмент содержит описание решения и доступных условий; расчёт несущей способности зданий в нём отсутствует. [2]</w:t>
      </w:r>
      <w:bookmarkEnd w:id="73"/>
    </w:p>
    <w:p>
      <w:bookmarkStart w:id="74" w:name="sc_body_74"/>
      <w:pPr/>
      <w:r>
        <w:t>Рассказ об убежище предлагается рассматривать как свидетельство принятого человеком решения и понимания им условий безопасности. В техническую характеристику конструкции его переводить нельзя без отдельного основания. В рамках раздела это позволяет поставить вопрос о том, какие условия выбора требуется изучать вместе с физической опасностью, сохраняя инженерный расчёт за пределами выполненного обзора.</w:t>
      </w:r>
      <w:bookmarkEnd w:id="74"/>
    </w:p>
    <w:p>
      <w:bookmarkStart w:id="75" w:name="sc_body_75"/>
      <w:pPr/>
      <w:r>
        <w:t>Автор предлагает для будущего городского проекта разделить карточку решения об укрытии и карточку обследования здания. В первой можно было бы фиксировать доступные человеку варианты и основание выбора; во второй потребовался бы самостоятельный технический материал. Сопоставление карточек могло бы стать исследовательской задачей, но в настоящей работе оно не выполнено и не даёт основания рекомендовать конкретный тип конструкции.</w:t>
      </w:r>
      <w:bookmarkEnd w:id="75"/>
    </w:p>
    <w:p>
      <w:bookmarkStart w:id="76" w:name="sc_body_76"/>
      <w:pPr/>
      <w:r>
        <w:t>Среди трудностей получения медицинской помощи участники исследования Доминики называли недоверие к учреждениям, перекрытые дороги, закрытие либо структурное повреждение объектов и недоступность услуг. В статье также описано решение не обращаться за помощью из-за страха или недоверия. Авторы рассматривают эти рассказы как препятствия доступу к необходимой помощи; речь сохраняется о сообщениях участников, а не о проведённом авторами обследовании всей сети учреждений. [2]</w:t>
      </w:r>
      <w:bookmarkEnd w:id="76"/>
    </w:p>
    <w:p>
      <w:bookmarkStart w:id="77" w:name="sc_body_77"/>
      <w:pPr/>
      <w:r>
        <w:t>Для анализа уязвимости предлагается не сводить доступ к помощи к наличию объекта на схеме. В карточке возможного исследования нужно раздельно поставить вопросы о намерении обратиться, доступном маршруте и фактически полученной услуге. Это авторская схема различения, которую предстоит наполнить наблюдениями. Она не устанавливает, какая из причин преобладает в ненаблюдавшемся городе или у неохваченной группы.</w:t>
      </w:r>
      <w:bookmarkEnd w:id="77"/>
    </w:p>
    <w:p>
      <w:bookmarkStart w:id="78" w:name="sc_body_78"/>
      <w:pPr/>
      <w:r>
        <w:t>В обсуждении ветрового риска такая схема служит ограничителем слишком узкой рекомендации. Предложение укрепить объект в рамках будущего проекта ещё потребовало бы проверки того, как предполагаемый пользователь будет им пользоваться. Однако сам обзор интервью не доказывает эффект укрепления. Автор предлагает сохранять это расхождение в выводе, даже если итоговая рекомендация из-за него получается менее определённой.</w:t>
      </w:r>
      <w:bookmarkEnd w:id="78"/>
    </w:p>
    <w:p>
      <w:bookmarkStart w:id="79" w:name="sc_body_79"/>
      <w:pPr/>
      <w:r>
        <w:t>В исследовании Доминики приведено мнение участника о необходимости яснее распределить роли правительства и местных советов после климатического экстремума. В том же разборе рассматриваются сообщения о предпочтительном распределении помощи и предложения улучшить жильё. Авторы интерпретируют эти свидетельства через политические, медицинские и социальные составляющие бедствия. Инженерная величина эффекта предлагаемых изменений в этом фрагменте не определяется. [2]</w:t>
      </w:r>
      <w:bookmarkEnd w:id="79"/>
    </w:p>
    <w:p>
      <w:bookmarkStart w:id="80" w:name="sc_body_80"/>
      <w:pPr/>
      <w:r>
        <w:t>Сообщение о распределении помощи предлагается фиксировать как сообщение участника с сохранением соответствующей атрибуции. В обзорной процедуре нельзя переписывать его в установленный факт работы всей системы. Вместе с тем изымать неудобный рассказ из рассмотрения тоже не следует. Автор предлагает формулировать по нему проверяемый вопрос о порядке распределения, а не объявлять расследование завершённым.</w:t>
      </w:r>
      <w:bookmarkEnd w:id="80"/>
    </w:p>
    <w:p>
      <w:bookmarkStart w:id="81" w:name="sc_body_81"/>
      <w:pPr/>
      <w:r>
        <w:t>Итог раздела формулируется как требование соединять вопросы о пережитом событии и последующей поддержке, не стирая различия между видами данных. Для собственно ветрового расчёта материал этого раздела не служит достаточным основанием. Предлагаемая граница полезна именно как условие остановки: подробный социальный анализ не должен создавать видимость выполненного инженерного испытания.</w:t>
      </w:r>
      <w:bookmarkEnd w:id="81"/>
    </w:p>
    <w:p>
      <w:bookmarkStart w:id="82" w:name="sc_body_82"/>
      <w:pPr/>
      <w:r>
        <w:t>Для подробного разбора отдельного случая автор предлагает построить последовательность вопросов о решении во время опасности и о последующем восстановлении. Сначала следует уточнить, какое действие участник считал доступным, затем — что послужило основанием выбора, далее — какое препятствие он описывает. Полученная последовательность не предназначена для вычисления технической защищённости. Её возможное назначение — уточнить предмет будущего социального исследования и сохранить связь между рассказом и конкретным решением.</w:t>
      </w:r>
      <w:bookmarkEnd w:id="82"/>
    </w:p>
    <w:p>
      <w:bookmarkStart w:id="83" w:name="sc_body_83"/>
      <w:pPr/>
      <w:r>
        <w:t>В возможном совместном обсуждении автор предлагает показывать раздельно рассказ и интерпретацию. Если участник называет жильё безопасным, в карточке следует сохранить его формулировку, а вопрос технического подтверждения оставить отдельным. Если исследователь предполагает связь решения с доступностью ресурса, нужно указать это как собственную гипотезу и назвать требуемое наблюдение. Такое устройство не запрещает объяснять случай, но не позволяет объяснению незаметно стать подтверждённым свойством объекта.</w:t>
      </w:r>
      <w:bookmarkEnd w:id="83"/>
    </w:p>
    <w:p>
      <w:bookmarkStart w:id="84" w:name="sc_body_84"/>
      <w:pPr/>
      <w:r>
        <w:t>Для проектирования городской проверки важно заранее определить условие завершения каждого вопроса. Рассказ может быть достаточным для установления содержания переживания, но не для подтверждения физического параметра. Автор предлагает не писать общую отметку достаточности материала сразу для всех задач. Вместо неё следует показывать, какой переход закрыт доступным свидетельством и какой требует самостоятельной работы. Такой порядок и есть предлагаемый результат раздела об уязвимости, а не скрытая замена инженерной задачи.</w:t>
      </w:r>
      <w:bookmarkEnd w:id="84"/>
    </w:p>
    <w:p>
      <w:bookmarkStart w:id="85" w:name="sc_body_85"/>
      <w:pPr/>
      <w:r>
        <w:t>При подготовке итогового текста автор предлагает проверять каждое предложение на сохранение говорящего. Формулировка должна позволять различить слова участника, тематическое обобщение исследователя и практическое предложение обзорщика. Если после сокращения текста граница исчезает, следует вернуть необходимую атрибуцию или сузить вывод. Это правило особенно полезно как предмет будущей редакционной проверки, но его эффективность в настоящей работе не измерялась.</w:t>
      </w:r>
      <w:bookmarkEnd w:id="85"/>
    </w:p>
    <w:p>
      <w:bookmarkStart w:id="86" w:name="sc_body_86"/>
      <w:pPr/>
      <w:r>
        <w:t>По результату такого чтения автор предлагает выделить направление обеспечения доступности укрытия и последующей помощи как самостоятельный предмет адаптационного решения. Оно не заменяет техническую защиту, но требует собственного вопроса и материала. Для предполагаемого проекта следовало бы сначала определить действие человека: получить предупреждение, выбрать доступное место или обратиться за поддержкой. Приоритет здесь означает порядок постановки задач, а не доказанное превосходство социальной меры над инженерной.</w:t>
      </w:r>
      <w:bookmarkEnd w:id="86"/>
    </w:p>
    <w:p>
      <w:bookmarkStart w:id="87" w:name="sc_body_87"/>
      <w:pPr/>
      <w:r>
        <w:t>При выборе между обследованием объекта и изучением доступа автор предлагает ориентироваться на незакрытый переход. Если не обосновано физическое свойство объекта, требуется соответствующая техническая задача. Если предполагаемый пользователь не может объяснить доступный путь действия, требуется отдельное рассмотрение доступности. Эти вопросы могут войти в общий проект, но их решения не должны взаимно подменяться. Обзор позволяет предложить такую схему выбора, не объявляя выполненным ни обследование, ни оценку доступа.</w:t>
      </w:r>
      <w:bookmarkEnd w:id="87"/>
    </w:p>
    <w:p>
      <w:pPr>
        <w:pStyle w:val="Heading2"/>
      </w:pPr>
      <w:r>
        <w:t>1.2. Меры адаптации и границы переноса результатов</w:t>
      </w:r>
    </w:p>
    <w:p>
      <w:bookmarkStart w:id="89" w:name="sc_body_89"/>
      <w:pPr/>
      <w:r>
        <w:t>Для рассмотрения мер адаптации предлагается отделить процедуру выбора от утверждения об эффективности выбранного решения. В этом разделе разрабатывается логика чтения оценки осуществимости: как задаётся предмет, как появляется перечень вариантов, кто устанавливает приоритеты и как читается итоговая категория. Практический перенос ограничивается проектированием аналогичной процедуры обсуждения; готовые сельскохозяйственные решения не объявляются городскими мерами.</w:t>
      </w:r>
      <w:bookmarkEnd w:id="89"/>
    </w:p>
    <w:p>
      <w:bookmarkStart w:id="90" w:name="sc_body_90"/>
      <w:pPr/>
      <w:r>
        <w:t>В публикации о Пуэрто-Морасане местная оценка осуществимости определена как анализ факторов, способствующих реализации адаптационных вариантов или препятствующих ей в конкретном районе либо сообществе. Местный характер связывается с условиями, ресурсами и динамикой территории и с участием экспертов и практиков. Следовательно, предмет оценки сформулирован через возможность реализации в контексте, а не через уже наблюдённое снижение городского ущерба. [1]</w:t>
      </w:r>
      <w:bookmarkEnd w:id="90"/>
    </w:p>
    <w:p>
      <w:bookmarkStart w:id="91" w:name="sc_body_91"/>
      <w:pPr/>
      <w:r>
        <w:t>Автор предлагает понимать вопрос об осуществимости как отдельный вопрос обзора, который не следует заменять вопросом о желательности результата. В собственной карточке потребуется указать, чья возможность действия рассматривается и относительно каких условий. Если субъект решения не определён, итоговое слово о реализуемости остаётся слишком неопределённым для перехода к практическому предложению.</w:t>
      </w:r>
      <w:bookmarkEnd w:id="91"/>
    </w:p>
    <w:p>
      <w:bookmarkStart w:id="92" w:name="sc_body_92"/>
      <w:pPr/>
      <w:r>
        <w:t>В проектируемой городской процедуре предлагается начинать с явной формулировки предполагаемого действия. Формулировка должна позволять участнику понять, что именно ему предлагают оценить. Общий лозунг об улучшении адаптации для этого не подходит: авторская схема требует различимого варианта, к которому можно предъявить условия. При этом список вариантов в настоящей работе не выдаётся за согласованный городской проект.</w:t>
      </w:r>
      <w:bookmarkEnd w:id="92"/>
    </w:p>
    <w:p>
      <w:bookmarkStart w:id="93" w:name="sc_body_93"/>
      <w:pPr/>
      <w:r>
        <w:t>Предлагаемая авторами Пуэрто-Морасана рамка включает характеристику социально-экологической системы, выявление адаптационных вариантов и оценку осуществимости. Для получения материала соединяются обзор и кабинетный анализ, совместное интегративное моделирование и выявление экспертного знания. Участие местных исследователей и заинтересованных лиц предусмотрено на всём протяжении процесса; это описание устройства оценки, а не отчёт об испытании городской инфраструктуры. [1]</w:t>
      </w:r>
      <w:bookmarkEnd w:id="93"/>
    </w:p>
    <w:p>
      <w:bookmarkStart w:id="94" w:name="sc_body_94"/>
      <w:pPr/>
      <w:r>
        <w:t>Разделение процесса на этапы предлагается использовать как способ не терять происхождение решения. В авторской карточке нужно хранить переход от описания ситуации к перечню вариантов и далее к их оценке. Если при обсуждении обнаруживается новый вариант, предлагается возвращаться к соответствующему этапу, а не просто добавлять итоговый балл. Это проект правила прослеживаемости, а не описание проверенного регламента.</w:t>
      </w:r>
      <w:bookmarkEnd w:id="94"/>
    </w:p>
    <w:p>
      <w:bookmarkStart w:id="95" w:name="sc_body_95"/>
      <w:pPr/>
      <w:r>
        <w:t>Для гипотетического городского применения автор предлагает заранее определить, какой материал разрешает завершить каждый этап. Описание территории не должно автоматически считаться завершённым только потому, что подготовлена презентация. Потребуется согласовать, какие вопросы считаются открытыми и кто вправе их уточнять. Условия такого согласования здесь предлагаются для обсуждения; их принятие и исполнение не исследовались.</w:t>
      </w:r>
      <w:bookmarkEnd w:id="95"/>
    </w:p>
    <w:p>
      <w:bookmarkStart w:id="96" w:name="sc_body_96"/>
      <w:pPr/>
      <w:r>
        <w:t>В статье Пуэрто-Морасана выбор заинтересованных лиц выделен как ключевой шаг. Авторы объясняют их экспертную роль знанием природной и социально-экономической системы и предлагают учитывать местный контекст, отношения власти и изучаемый сектор. После определения участников предполагается совместное построение концептуальной модели. Таким образом, состав обсуждения в описанном подходе связан с предметом оценки, а не задан как универсальный список профессий. [1]</w:t>
      </w:r>
      <w:bookmarkEnd w:id="96"/>
    </w:p>
    <w:p>
      <w:bookmarkStart w:id="97" w:name="sc_body_97"/>
      <w:pPr/>
      <w:r>
        <w:t>При разборе выбора участников предлагается задавать вопрос о том, чьё знание требуется для конкретного варианта действия. В авторской процедуре участие рассматривается как содержательное условие оценки, а не как декоративное приложение к готовому решению. Если необходимая перспектива не представлена, предлагается сохранить открытый вопрос и объяснить, почему без неё итоговое суждение было бы преждевременным.</w:t>
      </w:r>
      <w:bookmarkEnd w:id="97"/>
    </w:p>
    <w:p>
      <w:bookmarkStart w:id="98" w:name="sc_body_98"/>
      <w:pPr/>
      <w:r>
        <w:t>Отдельным предложением является запись основания приглашения. В ней следовало бы различать знание условий реализации, право распоряжаться ресурсом и опыт предполагаемого пользователя. Эти роли не предлагается считать взаимозаменяемыми. Совмещение ролей допустимо лишь после явного объяснения в будущем проекте. Настоящая работа не устанавливает, кто должен представлять конкретный район или организацию.</w:t>
      </w:r>
      <w:bookmarkEnd w:id="98"/>
    </w:p>
    <w:p>
      <w:bookmarkStart w:id="99" w:name="sc_body_99"/>
      <w:pPr/>
      <w:r>
        <w:t>Оценочный этап в подходе Пуэрто-Морасана включает подготовку инструментов, совместное обсуждение с сопровождением, индивидуальные оценки, их сбор и объединение, а затем представление результата. Эта последовательность сохраняет различие между отдельным суждением и общим обсуждением. Статья описывает способ получения оценки осуществимости; сам порядок обсуждения не является наблюдением последствий реализации выбранного варианта. [1]</w:t>
      </w:r>
      <w:bookmarkEnd w:id="99"/>
    </w:p>
    <w:p>
      <w:bookmarkStart w:id="100" w:name="sc_body_100"/>
      <w:pPr/>
      <w:r>
        <w:t>Для авторского проекта важно сохранять различие между индивидуальным суждением и совместным обсуждением. Предлагается сначала фиксировать исходное основание оценки, затем описывать, что именно изменилось после обсуждения. Само изменение не следует заранее считать улучшением: оно должно получить объяснение. Иначе итоговый консенсус останется словом, за которым нельзя увидеть способ согласования разных оснований.</w:t>
      </w:r>
      <w:bookmarkEnd w:id="100"/>
    </w:p>
    <w:p>
      <w:bookmarkStart w:id="101" w:name="sc_body_101"/>
      <w:pPr/>
      <w:r>
        <w:t>В протокол предполагаемого применения предлагается включить место для несогласия. Оно могло бы содержать вариант трактовки, условие его приемлемости и материал, который помог бы разрешить спор. Такая запись не должна автоматически блокировать любое решение, однако не должна исчезать из итогового документа ради красивого единого результата. Проверка удобства такого протокола остаётся задачей отдельной апробации.</w:t>
      </w:r>
      <w:bookmarkEnd w:id="101"/>
    </w:p>
    <w:p>
      <w:bookmarkStart w:id="102" w:name="sc_body_102"/>
      <w:pPr/>
      <w:r>
        <w:t>Для приоритизации в статье Пуэрто-Морасана используется AHP с попарным сравнением и численным представлением суждений в иерархической структуре. Авторы вводят его для определения местной значимости измерений и критериев вместо их равной значимости. Сообщённая задача метода состоит в учёте местных приоритетов внутри оценки осуществимости; она не совпадает с измерением фактического климатического эффекта каждого варианта. [1]</w:t>
      </w:r>
      <w:bookmarkEnd w:id="102"/>
    </w:p>
    <w:p>
      <w:bookmarkStart w:id="103" w:name="sc_body_103"/>
      <w:pPr/>
      <w:r>
        <w:t>В обсуждении приоритетов автор предлагает различать вес критерия и эмпирическое свидетельство. Если критерий признан важным участником, это ещё не означает, что действие по нему уже обеспечено ресурсом. В карточке следует сохранять отдельно объяснение значимости и объяснение наличия условия. Так предлагается предотвращать переход от предпочтения к описанию действительности без промежуточного доказательства.</w:t>
      </w:r>
      <w:bookmarkEnd w:id="103"/>
    </w:p>
    <w:p>
      <w:bookmarkStart w:id="104" w:name="sc_body_104"/>
      <w:pPr/>
      <w:r>
        <w:t>Для будущей процедуры предлагается сравнивать результат при разных допустимых приоритетах. Целью такого сравнения было бы выяснить, какое решение зависит от спорного предпочтения. В этой работе соответствующий пересчёт не выполняется и числовая устойчивость решения не заявляется. Формулируется только требование к дальнейшему проекту: хранить исходные суждения так, чтобы альтернативное чтение не потребовало их выдумывать.</w:t>
      </w:r>
      <w:bookmarkEnd w:id="104"/>
    </w:p>
    <w:p>
      <w:bookmarkStart w:id="105" w:name="sc_body_105"/>
      <w:pPr/>
      <w:r>
        <w:t>Авторы Пуэрто-Морасана сопоставляют результат без местных приоритетов и с их учётом. В исходной оценке все варианты получили категорию средней осуществимости; при добавлении приоритетов восстановление леса, сохранение почвы и воды и агролесоводство перешли в высокую категорию. Опубликованный результат относится к изменению оценки по принятой процедуре, а не к наблюдённому физическому изменению территории после выполнения этих действий. [1]</w:t>
      </w:r>
      <w:bookmarkEnd w:id="105"/>
    </w:p>
    <w:p>
      <w:bookmarkStart w:id="106" w:name="sc_body_106"/>
      <w:pPr/>
      <w:r>
        <w:t>Изменение категории предлагается читать вместе с изменением правила её получения. Авторская карточка должна позволять увидеть, одинаковый ли вопрос задаётся до и после введения приоритетов. Нельзя описывать переход категории как материальное улучшение объекта, если в рассмотренной операции меняется способ оценивания. Для обзора это различение принципиально: результат процедуры оценки и результат реализации меры относятся к разным задачам.</w:t>
      </w:r>
      <w:bookmarkEnd w:id="106"/>
    </w:p>
    <w:p>
      <w:bookmarkStart w:id="107" w:name="sc_body_107"/>
      <w:pPr/>
      <w:r>
        <w:t>При переносе логики в городской проект автор предлагает сначала сравнить смысл категорий, а уже затем обсуждать сходство названий. Категория с тем же названием может быть непригодна для сопоставления, если для неё приняты другие условия. Поэтому проект протокола требует текстового объяснения каждой итоговой оценки. Одна цветовая отметка или слово без основания не должны завершать содержательную экспертизу.</w:t>
      </w:r>
      <w:bookmarkEnd w:id="107"/>
    </w:p>
    <w:p>
      <w:bookmarkStart w:id="108" w:name="sc_body_108"/>
      <w:pPr/>
      <w:r>
        <w:t>В попарном сравнении для Пуэрто-Морасана наиболее значимыми названы экономическое и экологическое измерения, а менее приоритетными — институциональное и технологическое. В числе наиболее значимых критериев статья указывает экологическую ёмкость, микроэкономическую жизнеспособность, социальные сопутствующие выгоды и улучшение землепользования. Эти приоритеты приведены для изученных местных адаптационных вариантов и не описывают предпочтения городов вообще. [1]</w:t>
      </w:r>
      <w:bookmarkEnd w:id="108"/>
    </w:p>
    <w:p>
      <w:bookmarkStart w:id="109" w:name="sc_body_109"/>
      <w:pPr/>
      <w:r>
        <w:t>Опубликованное ранжирование предлагается использовать как пример результата конкретной процедуры, сохраняя его предметную принадлежность. В авторском проекте оно не становится готовой последовательностью городских инвестиций. Даже совпадение названия критерия не разрешает автоматически перенести его относительную значимость. Сначала потребовалось бы объяснить, что означает этот критерий в предполагаемом новом действии.</w:t>
      </w:r>
      <w:bookmarkEnd w:id="109"/>
    </w:p>
    <w:p>
      <w:bookmarkStart w:id="110" w:name="sc_body_110"/>
      <w:pPr/>
      <w:r>
        <w:t>Автор предлагает для каждой заимствуемой идеи писать короткую запись о том, что переносится и что остаётся в исходном исследовании. В данном случае переносимым объектом могла бы быть постановка вопроса о приоритетах. Сами предпочтения, перечень решений и итоговые категории должны остаться привязанными к своему материалу. Такой порядок ограничивает силу рекомендации, но делает её проверяемой.</w:t>
      </w:r>
      <w:bookmarkEnd w:id="110"/>
    </w:p>
    <w:p>
      <w:bookmarkStart w:id="111" w:name="sc_body_111"/>
      <w:pPr/>
      <w:r>
        <w:t>В ограничениях работы о Пуэрто-Морасане авторы признают ограниченное участие экспертов и рекомендуют в дальнейшем включать более широкий местный экспертный состав. Они также предлагают периодически повторять оценку, поскольку контекст планирования и реализации может меняться. Здесь сформулировано ограничение и направление дальнейшей работы; признание потенциала рамки не является проведённой проверкой результата её городского применения. [1]</w:t>
      </w:r>
      <w:bookmarkEnd w:id="111"/>
    </w:p>
    <w:p>
      <w:bookmarkStart w:id="112" w:name="sc_body_112"/>
      <w:pPr/>
      <w:r>
        <w:t>Описание ограничений предлагается включать в итог оценки до обсуждения практического применения. В авторском протоколе недостаточно поместить оговорку в конец текста, если выше уже сделан более широкий вывод. Рекомендация должна формулироваться сразу в той области, где её можно обосновать. Возможность дальнейшего исследования не предлагается использовать как основание для сегодняшнего утверждения о результате.</w:t>
      </w:r>
      <w:bookmarkEnd w:id="112"/>
    </w:p>
    <w:p>
      <w:bookmarkStart w:id="113" w:name="sc_body_113"/>
      <w:pPr/>
      <w:r>
        <w:t>Раздел завершается предложением о пределе переноса: из оценки осуществимости можно заимствовать вопросы к решению и порядок раскрытия оснований, но не доказательство его воздействия в другой среде. Для будущего городского проекта автор предлагает отдельно предусмотреть проверку реализации и последствий. Пока такая проверка не выполнена, рекомендация остаётся условным проектом исследовательской процедуры.</w:t>
      </w:r>
      <w:bookmarkEnd w:id="113"/>
    </w:p>
    <w:p>
      <w:bookmarkStart w:id="114" w:name="sc_body_114"/>
      <w:pPr/>
      <w:r>
        <w:t>Для будущего обсуждения варианта действия автор предлагает подготовить карточку с исходным условием, требуемым ресурсом, предполагаемым исполнителем и открытым возражением. Каждое поле должно заполняться самостоятельным основанием. Если обсуждение завершается общей положительной оценкой, карточка всё равно должна сохранять незаполненные условия. Принятие варианта как достойного дальнейшего рассмотрения не следует считать разрешением его реализации. Это различие предлагается включить в текст решения явно.</w:t>
      </w:r>
      <w:bookmarkEnd w:id="114"/>
    </w:p>
    <w:p>
      <w:bookmarkStart w:id="115" w:name="sc_body_115"/>
      <w:pPr/>
      <w:r>
        <w:t>Отдельно предлагается записывать, к какому изменению относится препятствие. Можно обсуждать отсутствие материала для оценки, неясность предполагаемого действия или ограниченность доступного ресурса; в авторском проекте эти ситуации не объединяются. Для каждой потребуется свой следующий шаг. Такая раздельная запись не создаёт новых сведений, однако задаёт адресный запрос к дальнейшей работе. Её нельзя подменять перечнем общих трудностей без указания, что именно необходимо выяснить.</w:t>
      </w:r>
      <w:bookmarkEnd w:id="115"/>
    </w:p>
    <w:p>
      <w:bookmarkStart w:id="116" w:name="sc_body_116"/>
      <w:pPr/>
      <w:r>
        <w:t>При споре о приоритете автор предлагает сохранить обе формулировки цели до выбора правила сравнения. Если участники подразумевают разные результаты, численное выражение предпочтений не должно преждевременно закрывать расхождение. Сначала нужно определить предмет согласования. Только затем в возможном проекте допустимо обсуждать, как сравнивать варианты. Настоящая работа не утверждает, что такой порядок обязательно приведёт к согласию; предлагается условие содержательно прозрачного обсуждения.</w:t>
      </w:r>
      <w:bookmarkEnd w:id="116"/>
    </w:p>
    <w:p>
      <w:bookmarkStart w:id="117" w:name="sc_body_117"/>
      <w:pPr/>
      <w:r>
        <w:t>В конце возможной оценки автор предлагает составить запись о статусе решения: что признано осуществимым при принятых условиях, что остаётся предположением и что ещё не проверялось. В такую запись не следует включать обещание климатического эффекта, если предметом обсуждения были только условия действия. При последующей реализации потребуется новая проверка с собственной постановкой задачи. Сохранение связи между этими этапами предлагается считать условием преемственности проекта, а не основанием перенести прежний вывод автоматически.</w:t>
      </w:r>
      <w:bookmarkEnd w:id="117"/>
    </w:p>
    <w:p>
      <w:bookmarkStart w:id="118" w:name="sc_body_118"/>
      <w:pPr/>
      <w:r>
        <w:t>Для оценки направления автор предлагает различать решение о включении варианта в дальнейшую разработку и решение о начале действия. Включение можно было бы обосновывать ясностью цели и возможностью проверить условия реализации. Начало действия потребует отдельного подтверждения этих условий. Предлагаемая граница позволяет использовать местную оценку как подготовительный этап, сохраняя открытым вопрос о воздействии. Она не даёт готового приоритета озеленению, инженерной защите или организационному изменению.</w:t>
      </w:r>
      <w:bookmarkEnd w:id="118"/>
    </w:p>
    <w:p>
      <w:bookmarkStart w:id="119" w:name="sc_body_119"/>
      <w:pPr/>
      <w:r>
        <w:t>В качестве условной рекомендации автор предлагает сначала отдавать исследовательский приоритет тому варианту, по которому сформулирован проверяемый вопрос и возможно определить недостающий материал. Это предпочтение относится к очередности разработки, а не к ожидаемой силе климатического эффекта. Если у важного направления основание пока недостаточно, оно не исключается автоматически; для него предлагается отдельная задача подготовки свидетельств. Так сохраняется различие между исследовательской готовностью и общественной значимостью решения.</w:t>
      </w:r>
      <w:bookmarkEnd w:id="119"/>
    </w:p>
    <w:p>
      <w:pPr>
        <w:pStyle w:val="Heading1"/>
        <w:pageBreakBefore/>
      </w:pPr>
      <w:r>
        <w:t>2. Оценка и внедрение адаптационных мер</w:t>
      </w:r>
    </w:p>
    <w:p>
      <w:pPr>
        <w:pStyle w:val="Heading2"/>
      </w:pPr>
      <w:r>
        <w:t>2.1. ГИС и зелёная инфраструктура</w:t>
      </w:r>
    </w:p>
    <w:p>
      <w:bookmarkStart w:id="122" w:name="sc_body_122"/>
      <w:pPr/>
      <w:r>
        <w:t>Задачу данного раздела автор формулирует как обоснование пространственного отбора адаптационных мер, а не как доказательство универсальной защитной функции озеленения. Предлагается рассматривать геоинформационную оценку через последовательность вопросов: где обнаружен неблагоприятный признак, с каким процессом он связан, какое вмешательство допускает эта связь и чего выбранное представление территории не позволяет утверждать. Для темы ветровой уязвимости особенно существенно заранее разделить тепловую и аэродинамическую постановки. В предлагаемой схеме карта зелёных участков служит основанием для гипотезы о размещении мер; право назвать меру защитой от ветровой нагрузки должно обосновываться отдельно.</w:t>
      </w:r>
      <w:bookmarkEnd w:id="122"/>
    </w:p>
    <w:p>
      <w:bookmarkStart w:id="123" w:name="sc_body_123"/>
      <w:pPr/>
      <w:r>
        <w:t>В исследовании Тегерана пространственные приоритеты развития зелёных насаждений определяются с использованием разновременных спутниковых данных и геопространственных методов в Google Earth Engine. Авторы ставят вопросы о пространственно-временной структуре городского острова тепла, объяснении тепловой среды через ландшафтные метрики и изменении охлаждающего потенциала связности холодных участков. Тем самым опубликованная постановка относится к тепловой регуляции городской среды и связности зелёной сети [3].</w:t>
      </w:r>
      <w:bookmarkEnd w:id="123"/>
    </w:p>
    <w:p>
      <w:bookmarkStart w:id="124" w:name="sc_body_124"/>
      <w:pPr/>
      <w:r>
        <w:t>В качестве авторского прочтения этой постановки предлагается различать объект наблюдения и объект вмешательства. В аналитической карточке следует отдельно назвать температурный признак, выделенный участок, возможное действие с растительностью и ожидаемый результат этого действия. Между ними необходимо оставить место для проверки, а не соединять их одним словом «эффективность». Для собственной работы это означает отказ от формулировки, в которой любая связная зелёная сеть заранее объявляется оптимальной адаптацией. Предлагаемый вопрос уже: достаточно ли сведений, чтобы включить конкретный участок в перечень для последующего обследования, и какое обследование должно предшествовать проектному решению.</w:t>
      </w:r>
      <w:bookmarkEnd w:id="124"/>
    </w:p>
    <w:p>
      <w:bookmarkStart w:id="125" w:name="sc_body_125"/>
      <w:pPr/>
      <w:r>
        <w:t>В тегеранской работе конфигурация горячих и холодных участков анализируется посредством ландшафтных метрик; при их отборе прямо учитываются зависимость от масштаба и возможная избыточность показателей. Моделирование связности выполнено в Circuitscape в попарном режиме: рассчитывается модельный поток между основными узлами холодных зелёных участков. Области высокой плотности потока интерпретируются как зелёные коридоры, а узкие пути его концентрации — как ограничения связности. Это описание относится к устройству пространственной модели, используемой авторами для поиска приоритетов вмешательства [3].</w:t>
      </w:r>
      <w:bookmarkEnd w:id="125"/>
    </w:p>
    <w:p>
      <w:bookmarkStart w:id="126" w:name="sc_body_126"/>
      <w:pPr/>
      <w:r>
        <w:t>Для рассматриваемой задачи автор предлагает не приравнивать модельный поток к непосредственному измерению переноса воздуха. В карточке результата следует сохранять название вычисляемой величины и способ её получения. Предполагаемую связь с физическим процессом надлежит записывать отдельной проверяемой гипотезой. Так можно избежать смысловой подмены: название «коридор» ещё не должно означать установленный путь безопасного проветривания, а высокая модельная связность — измеренное снижение нагрузки на здания. Если поставлен вопрос именно о ветре, в проекте проверки требуется собственная аэродинамическая характеристика; при её отсутствии вывод следует ограничить пространственной связностью в принятой модели.</w:t>
      </w:r>
      <w:bookmarkEnd w:id="126"/>
    </w:p>
    <w:p>
      <w:bookmarkStart w:id="127" w:name="sc_body_127"/>
      <w:pPr/>
      <w:r>
        <w:t>В предлагаемой структуре ГИС целесообразно вести самостоятельные слои исходных наблюдений, результатов классификации и проектных предложений. Исходный слой должен содержать только признаки, извлечённые из указанного материала, и описание их происхождения. Аналитический слой — правила выделения участков и вычисления выбранных показателей.</w:t>
      </w:r>
      <w:bookmarkEnd w:id="127"/>
    </w:p>
    <w:p>
      <w:bookmarkStart w:id="128" w:name="sc_body_128"/>
      <w:pPr/>
      <w:r>
        <w:t>Проектный слой — варианты вмешательства с пометкой о степени обоснованности. Автор считает необходимым запретить обратное заполнение исходного слоя предполагаемым эффектом проекта: желаемый результат не должен становиться наблюдённым свойством территории. Такой порядок предлагается как правило проверяемости будущей оценки, а не как описание уже созданной информационной системы.</w:t>
      </w:r>
      <w:bookmarkEnd w:id="128"/>
    </w:p>
    <w:p>
      <w:bookmarkStart w:id="129" w:name="sc_body_129"/>
      <w:pPr/>
      <w:r>
        <w:t>Для отбора показателей автор предлагает применять принцип содержательного различения. Площадь, форма, положение и связь участка должны отвечать на разные вопросы карточки, иначе несколько близких характеристик будут представлены как независимые аргументы в пользу одного решения.</w:t>
      </w:r>
      <w:bookmarkEnd w:id="129"/>
    </w:p>
    <w:p>
      <w:bookmarkStart w:id="130" w:name="sc_body_130"/>
      <w:pPr/>
      <w:r>
        <w:t>В предлагаемом анализе показатель площади характеризовал бы объём рассматриваемого пространственного ресурса, показатель связности — отношения между его частями, а характеристика окружения — условия, при которых предполагается действие меры. Итоговую рекомендацию следует сопровождать объяснением, какой вопрос решает каждый показатель. Если такое объяснение отсутствует, предпочтительно сократить набор признаков, а не повышать убедительность вывода числом слоёв и карт.</w:t>
      </w:r>
      <w:bookmarkEnd w:id="130"/>
    </w:p>
    <w:p>
      <w:bookmarkStart w:id="131" w:name="sc_body_131"/>
      <w:pPr/>
      <w:r>
        <w:t>Авторы тегеранского исследования называют ограничением исключение небольших зелёных участков вследствие пространственного разрешения теплового канала Landsat. Они указывают, что это ограничивает обнаружение мелкомасштабных температурных различий и может оставлять вне оценки охлаждающий вклад небольших озеленённых пространств. Применение данных более высокого разрешения и сценарное моделирование расширения и соединения зелёных участков описаны ими как направления дальнейших исследований [3].</w:t>
      </w:r>
      <w:bookmarkEnd w:id="131"/>
    </w:p>
    <w:p>
      <w:bookmarkStart w:id="132" w:name="sc_body_132"/>
      <w:pPr/>
      <w:r>
        <w:t>Из этого ограничения автор выводит правило для проектируемой городской оценки: отсутствие объекта на аналитической карте следует записывать как отсутствие сведений в принятом масштабе, пока не выполнено отдельное обследование. Нельзя заранее распределять такие места в категорию незначимых.</w:t>
      </w:r>
      <w:bookmarkEnd w:id="132"/>
    </w:p>
    <w:p>
      <w:bookmarkStart w:id="133" w:name="sc_body_133"/>
      <w:pPr/>
      <w:r>
        <w:t>Предлагается ввести на карте статус «нужна детализация» и применять его к участкам, решение о которых требует более мелкого пространственного рассмотрения, чем допускает используемый материал. Эта категория не должна получать положительную или отрицательную оценку защитного действия. Её назначение — показать конкретное место незавершённости анализа, чтобы последующее планирование не принимало пробел за подтверждённое свойство.</w:t>
      </w:r>
      <w:bookmarkEnd w:id="133"/>
    </w:p>
    <w:p>
      <w:bookmarkStart w:id="134" w:name="sc_body_134"/>
      <w:pPr/>
      <w:r>
        <w:t>Масштаб предлагается согласовывать с характером решения ещё до составления рейтинга. Для обзорного отбора территорий допустима одна пространственная единица, для изменения отдельного прохода или участка благоустройства должна быть явно обоснована другая. В авторской схеме перенос оценки между уровнями разрешается только после объяснения, какие признаки сохраняют смысл.</w:t>
      </w:r>
      <w:bookmarkEnd w:id="134"/>
    </w:p>
    <w:p>
      <w:bookmarkStart w:id="135" w:name="sc_body_135"/>
      <w:pPr/>
      <w:r>
        <w:t>Нельзя механически присвоить отдельному объекту среднее значение района и затем назвать это его собственной характеристикой. При отсутствии детальных материалов предлагается оставить решение на обзорном уровне и сформулировать задание на обследование. Такая граница сохраняет практическую пользу карты, не создавая видимость точности отдельного проектного предписания.</w:t>
      </w:r>
      <w:bookmarkEnd w:id="135"/>
    </w:p>
    <w:p>
      <w:bookmarkStart w:id="136" w:name="sc_body_136"/>
      <w:pPr/>
      <w:r>
        <w:t>Сравнение сценариев озеленения автор предлагает строить вокруг различий между действиями, а не вокруг заранее желательного образа «зелёного города». Следует описать сохранение существующего участка, восстановление разрыва и создание нового элемента как самостоятельные альтернативы.</w:t>
      </w:r>
      <w:bookmarkEnd w:id="136"/>
    </w:p>
    <w:p>
      <w:bookmarkStart w:id="137" w:name="sc_body_137"/>
      <w:pPr/>
      <w:r>
        <w:t>Для каждой альтернативы необходимо указать предполагаемый механизм, требуемый материал для проверки, условия ухода и критерий отказа. Если варианты сопоставляются только по одному пространственному показателю, итог следует назвать частным пространственным предпочтением. Для общего выбора адаптационной меры автор предлагает дополнительно рассматривать допустимость вмешательства и его связь с целями защиты, не выдавая их за уже подтверждённые свойства выбранного места.</w:t>
      </w:r>
      <w:bookmarkEnd w:id="137"/>
    </w:p>
    <w:p>
      <w:bookmarkStart w:id="138" w:name="sc_body_138"/>
      <w:pPr/>
      <w:r>
        <w:t>В отношении ветровой задачи предлагается особо проверять совместимость предполагаемого озеленения с принятой целью. В проектной карточке следует заранее записать, требуется ли защита конкретного объекта, сохранение прохода воздуха или создание условий пребывания людей. Эти цели нельзя сводить к единому знаку «больше растительности — лучше».</w:t>
      </w:r>
      <w:bookmarkEnd w:id="138"/>
    </w:p>
    <w:p>
      <w:bookmarkStart w:id="139" w:name="sc_body_139"/>
      <w:pPr/>
      <w:r>
        <w:t>Авторская схема предусматривает сопоставление альтернативных конфигураций и явное указание возможного конфликта целей как предмета будущего расчёта. При невозможности выполнить такой расчёт рекомендация должна оставаться условной: участок предлагается для дальнейшего изучения, а не для немедленного создания защитной полосы. Ни требуемая порода, ни плотность, ни геометрия здесь не объявляются установленными.</w:t>
      </w:r>
      <w:bookmarkEnd w:id="139"/>
    </w:p>
    <w:p>
      <w:bookmarkStart w:id="140" w:name="sc_body_140"/>
      <w:pPr/>
      <w:r>
        <w:t>Обзор городских адаптационных планов показывает иной аспект пространственного планирования: в рассмотренных документах участие органов общественного здоровья в тепловых планах нечасто распространялось на адресный выбор озеленения или охлаждающих мер с привлечением сведений о здоровье и уязвимости. Вместе с тем авторы подчёркивают, что анализировали опубликованные намерения, а не фактически выполненные действия, и не считают свою выборку представительной для всех крупных городов. Этот результат относится к содержанию изученных планов и пределам документального обзора [5].</w:t>
      </w:r>
      <w:bookmarkEnd w:id="140"/>
    </w:p>
    <w:p>
      <w:bookmarkStart w:id="141" w:name="sc_body_141"/>
      <w:pPr/>
      <w:r>
        <w:t>В предлагаемой автором процедуре пространственный приоритет следует разделять на приоритет вмешательства и приоритет получения сведений. Участок с неблагоприятным признаком и достаточным обоснованием может рассматриваться для проектирования; участок с предполагаемой значимостью и недостатком сведений — для обследования. Смешивать их в едином рейтинге без объяснения нельзя.</w:t>
      </w:r>
      <w:bookmarkEnd w:id="141"/>
    </w:p>
    <w:p>
      <w:bookmarkStart w:id="142" w:name="sc_body_142"/>
      <w:pPr/>
      <w:r>
        <w:t>Для социальной направленности оценки предлагается отдельно формулировать, чьи условия защиты рассматриваются и на каком основании выделена эта группа. Если соответствующие сведения отсутствуют, карта не должна называться картой потребности населения. Допустимо назвать её картой физических или модельных признаков с обозначенным запросом на социальную проверку.</w:t>
      </w:r>
      <w:bookmarkEnd w:id="142"/>
    </w:p>
    <w:p>
      <w:bookmarkStart w:id="143" w:name="sc_body_143"/>
      <w:pPr/>
      <w:r>
        <w:t>Автор предлагает оформлять конечный результат ГИС не только как цветовую схему, но и как набор объяснимых решений. Для каждого предлагаемого действия должна существовать краткая цепочка: наблюдаемый признак, допустимая интерпретация, рассматриваемая альтернатива, недостающая проверка, условие изменения рекомендации. В этой цепочке не следует прятать отрицательный вывод.</w:t>
      </w:r>
      <w:bookmarkEnd w:id="143"/>
    </w:p>
    <w:p>
      <w:bookmarkStart w:id="144" w:name="sc_body_144"/>
      <w:pPr/>
      <w:r>
        <w:t>Если данные подтверждают наличие пространственного разрыва, но не позволяют судить о ветровой защите, именно это и должно быть написано. Приоритет на карте тогда означает очередность рассмотрения вопроса, а не обещание эффекта. Так авторская рекомендация получает предметную границу и может быть пересмотрена при появлении материала нужного типа.</w:t>
      </w:r>
      <w:bookmarkEnd w:id="144"/>
    </w:p>
    <w:p>
      <w:bookmarkStart w:id="145" w:name="sc_body_145"/>
      <w:pPr/>
      <w:r>
        <w:t>Для согласования пространственного решения с содержанием адаптационной программы предлагается использовать отдельную процедуру чтения карты участниками обсуждения. Исполнителю следует предъявлять не только итоговый цвет, но и исходный признак, выбранный масштаб и допустимый смысл категории. Возражение необходимо фиксировать вместе с предметом: ошибка исходных сведений, несогласие с правилом классификации или иное понимание цели.</w:t>
      </w:r>
      <w:bookmarkEnd w:id="145"/>
    </w:p>
    <w:p>
      <w:bookmarkStart w:id="146" w:name="sc_body_146"/>
      <w:pPr/>
      <w:r>
        <w:t>Автор не предлагает усреднять эти возражения в новый балл без разбора. Их следует возвращать на соответствующий этап анализа. Такой порядок рассматривается как условие обоснованного использования ГИС в проекте внедрения; он не подменяет пространственную оценку голосованием и не превращает локальное мнение в физическое измерение.</w:t>
      </w:r>
      <w:bookmarkEnd w:id="146"/>
    </w:p>
    <w:p>
      <w:bookmarkStart w:id="147" w:name="sc_body_147"/>
      <w:pPr/>
      <w:r>
        <w:t>В авторском варианте передачи результата в проектирование предлагается составлять задание с явным ограничением полномочий карты. В него следует включать выбранный участок, рассматриваемую цель, обоснование перехода к следующей стадии и перечень вопросов, которые остаются открытыми.</w:t>
      </w:r>
      <w:bookmarkEnd w:id="147"/>
    </w:p>
    <w:p>
      <w:bookmarkStart w:id="148" w:name="sc_body_148"/>
      <w:pPr/>
      <w:r>
        <w:t>Принятие такого задания означает согласие изучить вариант, а не согласование строительного или ландшафтного решения. Отдельно предлагается хранить отвергнутые альтернативы с причиной отказа: недостаток материала, несоответствие цели или неустранённое противоречие условий. Это необходимо для содержательной проверяемости выбора в рамках предлагаемой методики, а не для создания искусственного впечатления завершённости обследования.</w:t>
      </w:r>
      <w:bookmarkEnd w:id="148"/>
    </w:p>
    <w:p>
      <w:bookmarkStart w:id="149" w:name="sc_body_149"/>
      <w:pPr/>
      <w:r>
        <w:t>Таким образом, авторское предложение для данного раздела состоит в ограниченной роли пространственного моделирования: оно должно обеспечивать аргументированный отбор вопросов и мест для проверки. В качестве результата настоящей работы предлагается методическая схема такой оценки, а не готовая карта защищённости исследуемого города.</w:t>
      </w:r>
      <w:bookmarkEnd w:id="149"/>
    </w:p>
    <w:p>
      <w:bookmarkStart w:id="150" w:name="sc_body_150"/>
      <w:pPr/>
      <w:r>
        <w:t>В дальнейшем её применение следует считать успешным только при сохранении различий между наблюдаемым признаком, модельной интерпретацией и проектным действием. Для ветровых рисков ключевым условием остаётся отдельное обоснование ветрового результата. Если оно не представлено, зелёная инфраструктура может обсуждаться как пространственная альтернатива, но её защитный эффект в этой работе не объявляется установленным.</w:t>
      </w:r>
      <w:bookmarkEnd w:id="150"/>
    </w:p>
    <w:p>
      <w:pPr>
        <w:pStyle w:val="Heading2"/>
      </w:pPr>
      <w:r>
        <w:t>2.2. Валидация результатов оценки</w:t>
      </w:r>
    </w:p>
    <w:p>
      <w:bookmarkStart w:id="152" w:name="sc_body_152"/>
      <w:pPr/>
      <w:r>
        <w:t>В данном разделе автор предлагает понимать валидацию как проверку соответствия результата поставленному вопросу и основаниям его получения. Для темы городской адаптации требуется заранее определить, что именно предполагается подтвердить: правильность воспроизведения исходных сведений, устойчивость пространственной классификации, обоснованность причинного вывода или допустимость рекомендации.</w:t>
      </w:r>
      <w:bookmarkEnd w:id="152"/>
    </w:p>
    <w:p>
      <w:bookmarkStart w:id="153" w:name="sc_body_153"/>
      <w:pPr/>
      <w:r>
        <w:t>В предлагаемой методике эти задачи должны получать самостоятельные заключения. Удачная проверка одной задачи не должна автоматически закрывать остальные. Итог работы следует формулировать настолько узко, насколько позволяет наиболее слабое необходимое звено, сохраняя возможность практического решения о следующей стадии исследования.</w:t>
      </w:r>
      <w:bookmarkEnd w:id="153"/>
    </w:p>
    <w:p>
      <w:bookmarkStart w:id="154" w:name="sc_body_154"/>
      <w:pPr/>
      <w:r>
        <w:t>В тегеранском исследовании после выделения холодных и горячих тепловых островов соответствующие карты были преобразованы в растровые слои. Для анализа их пространственного совпадения использован коэффициент Каппа. Таким образом, в опубликованной процедуре имеется отдельная операция сопоставления пространственных карт, связанная с наблюдением их изменений [3].</w:t>
      </w:r>
      <w:bookmarkEnd w:id="154"/>
    </w:p>
    <w:p>
      <w:bookmarkStart w:id="155" w:name="sc_body_155"/>
      <w:pPr/>
      <w:r>
        <w:t>В авторском разборе этой процедуры принципиален предмет проверки. Предлагается различать совпадение пространственного рисунка и правильность объяснения этого рисунка. Даже если выбранный показатель сопоставления даёт основание говорить о сходстве карт, для собственной работы это не должно служить разрешением приписать изменение конкретной адаптационной мере. Нужна отдельная постановка вопроса о вмешательстве и альтернативных объяснениях. В предлагаемом заключении следует прямо назвать уровень вывода: воспроизводимость представления, устойчивость классификации или оценка действия меры. Такая запись исключает переход от качества карты к заявлению о достигнутой защите без самостоятельного аргумента.</w:t>
      </w:r>
      <w:bookmarkEnd w:id="155"/>
    </w:p>
    <w:p>
      <w:bookmarkStart w:id="156" w:name="sc_body_156"/>
      <w:pPr/>
      <w:r>
        <w:t>В исследовании китайской программы адаптивных городов для оценки эффекта политики использован метод Synthetic DID. Авторы описывают подбор весов единиц наблюдения, чтобы приблизить дополитическую динамику контрольной группы к динамике экспериментальной, и подбор временных весов для сопоставления периодов. Затем эти веса включаются в модель разностей разностей. В работе указаны девять групп воздействия и 48 контрольных групп; это устройство исследования политики, а не наблюдение отдельного проекта озеленения или ветровой защиты [4].</w:t>
      </w:r>
      <w:bookmarkEnd w:id="156"/>
    </w:p>
    <w:p>
      <w:bookmarkStart w:id="157" w:name="sc_body_157"/>
      <w:pPr/>
      <w:r>
        <w:t>Для собственной методики автор предлагает перенять из этой постановки требование явного сравнения, сохранив границу предмета. Если будущая оценка претендует на выявление результата вмешательства, следует назвать состояние, с которым сопоставляется наблюдаемое изменение, и основания выбора этого состояния.</w:t>
      </w:r>
      <w:bookmarkEnd w:id="157"/>
    </w:p>
    <w:p>
      <w:bookmarkStart w:id="158" w:name="sc_body_158"/>
      <w:pPr/>
      <w:r>
        <w:t>Сравнение с удобной исходной датой не следует объявлять достаточным только потому, что итоговое значение стало желательнее. Автор предлагает заранее записывать возможные объяснения изменения и план проверки каждого из них. При отсутствии подходящего сравнительного материала допустим описательный вывод о динамике признака; причинное утверждение о действии меры в предлагаемой работе должно оставаться открытым.</w:t>
      </w:r>
      <w:bookmarkEnd w:id="158"/>
    </w:p>
    <w:p>
      <w:bookmarkStart w:id="159" w:name="sc_body_159"/>
      <w:pPr/>
      <w:r>
        <w:t>Для проверки устойчивости оценки китайские авторы используют анализ динамики до политики и пространственно-временную смешанную плацебо-процедуру. При проверке дополитической динамики они сообщают, что оценки до введения политики были близки к нулю, но отмечают исключение в отношении статистической значимости для 2016 года. В плацебо-процедуре случайным образом создавались условные группы воздействия и условные моменты начала политики, а полученные оценки сопоставлялись с оценкой фактической политики [4].</w:t>
      </w:r>
      <w:bookmarkEnd w:id="159"/>
    </w:p>
    <w:p>
      <w:bookmarkStart w:id="160" w:name="sc_body_160"/>
      <w:pPr/>
      <w:r>
        <w:t>В авторской интерпретации наличие такой проверки следует рассматривать как предмет анализа, а не как окончательную гарантию. Предлагается отдельно обсуждать, какое предположение проверяет каждая процедура и какое остаётся за её пределами. Условное вмешательство позволяет поставить вопрос об отличии результата от выбранного искусственного сравнения; оно не должно в собственном тексте превращаться в формулу об устранении всех возможных искажений. Отмеченное авторами исключение предлагается сохранять в разборе, не заменяя его общим утверждением о полном подтверждении предпосылок. Для дипломной оценки это правило требует полного описания существенных оговорок рядом с выводом, которому они ограничивают силу.</w:t>
      </w:r>
      <w:bookmarkEnd w:id="160"/>
    </w:p>
    <w:p>
      <w:bookmarkStart w:id="161" w:name="sc_body_161"/>
      <w:pPr/>
      <w:r>
        <w:t>Применительно к пространственному анализу автор предлагает начинать проверку с происхождения каждого слоя. Следует установить соответствие названия признака его фактическому содержанию, проверить согласованность территории и времени наблюдения, а также записать все преобразования исходного материала.</w:t>
      </w:r>
      <w:bookmarkEnd w:id="161"/>
    </w:p>
    <w:p>
      <w:bookmarkStart w:id="162" w:name="sc_body_162"/>
      <w:pPr/>
      <w:r>
        <w:t>В предлагаемом порядке исправление обнаруженной ошибки должно сопровождаться повторным вычислением затронутых результатов и изменением заключения, если изменилось основание выбора. Нельзя оставлять прежнюю рекомендацию только потому, что она уже оформлена на карте. Проверка происхождения здесь имеет самостоятельный результат: разрешено ли использовать слой для данного вопроса, а не насколько привлекательно выглядит итоговая пространственная схема.</w:t>
      </w:r>
      <w:bookmarkEnd w:id="162"/>
    </w:p>
    <w:p>
      <w:bookmarkStart w:id="163" w:name="sc_body_163"/>
      <w:pPr/>
      <w:r>
        <w:t>Следующим направлением авторской проверки предлагается сделать чувствительность к аналитическим решениям. Для будущей оценки необходимо заранее выбрать решения, изменение которых имеет содержательный смысл: границы участков, способ выделения неблагоприятной зоны, набор признаков и правило их объединения. Сравнивать следует не только итоговый балл, но и изменение конкретной рекомендации.</w:t>
      </w:r>
      <w:bookmarkEnd w:id="163"/>
    </w:p>
    <w:p>
      <w:bookmarkStart w:id="164" w:name="sc_body_164"/>
      <w:pPr/>
      <w:r>
        <w:t>Если участок сохраняет высокий приоритет при разных допустимых вариантах, такой вывод можно описать как устойчивый внутри проверенного набора настроек. Если его статус меняется, следует показать диапазон допустимых трактовок и условия выбора. Автор не предлагает считать любую нестабильность ошибкой; её следует использовать для определения границ уверенности.</w:t>
      </w:r>
      <w:bookmarkEnd w:id="164"/>
    </w:p>
    <w:p>
      <w:bookmarkStart w:id="165" w:name="sc_body_165"/>
      <w:pPr/>
      <w:r>
        <w:t>Для экспертной части оценки автор предлагает иной критерий валидации: проверяемость перехода от суждения к категории. В карточке должны сохраняться формулировка вопроса, основания оценки, значимые возражения и правило объединения суждений. Повторное обсуждение желательно направлять на выяснение причин расхождения, а не на получение заранее ожидаемого согласия. В предлагаемом анализе разногласие о достаточности сведений следует отличать от разногласия о желательности меры. Иначе итоговая категория будет одновременно означать знание о действии и отношение к нему. Если эти значения нельзя развести, следует отказаться от общего балла и представить содержательное заключение по каждому основанию отдельно.</w:t>
      </w:r>
      <w:bookmarkEnd w:id="165"/>
    </w:p>
    <w:p>
      <w:bookmarkStart w:id="166" w:name="sc_body_166"/>
      <w:pPr/>
      <w:r>
        <w:t>Авторы обзора городских планов прямо различают сообщённые намерения и реальные действия: их исследование опирается на общедоступные документы без дополнительного обращения к городским властям. Они отмечают возможную неполноту отчётности и непредставительность отбора городов, поэтому не распространяют результаты на все крупные города. Из-за несогласованности определения действия в разных городах они также не пытались подсчитать число действий внутри каждой рассматриваемой области [5].</w:t>
      </w:r>
      <w:bookmarkEnd w:id="166"/>
    </w:p>
    <w:p>
      <w:bookmarkStart w:id="167" w:name="sc_body_167"/>
      <w:pPr/>
      <w:r>
        <w:t>В рамках настоящей работы автор предлагает использовать этот документальный предел как отдельное условие проверки. Если материал содержит положение программы, результат следует называть предусмотренной мерой; если содержит описание выполнения, надо отдельно установить, какие признаки выполнения представлены. Оценка эффекта требует собственного материала о результате, а не более уверенного пересказа того же плана.</w:t>
      </w:r>
      <w:bookmarkEnd w:id="167"/>
    </w:p>
    <w:p>
      <w:bookmarkStart w:id="168" w:name="sc_body_168"/>
      <w:pPr/>
      <w:r>
        <w:t>В предлагаемом реестре проверок должны быть разные поля для намерения, выполнения и эффекта. Заполнение следующего поля разрешается только при наличии подходящего основания. Пустое поле следует оставлять видимым; оно не означает провал программы, но ограничивает утверждение, которое допустимо включить в заключение.</w:t>
      </w:r>
      <w:bookmarkEnd w:id="168"/>
    </w:p>
    <w:p>
      <w:bookmarkStart w:id="169" w:name="sc_body_169"/>
      <w:pPr/>
      <w:r>
        <w:t>Исследование опыта перемещённых жителей Доминики сопровождается явной оговоркой: обсуждения и набор участников оказались сосредоточены на недавних штормах и ураганах, их последствиях для мобильности, готовности и реагировании. Авторы характеризуют разнообразие представленных ситуаций риска и уязвимости как ограниченное. Перспективу дальнейшей работы они связывают с изучением других событий и территорий, а также с оценкой эффективности мер после перемещения. Эти ограничения относятся к интерпретации опыта и перспектив участников [2].</w:t>
      </w:r>
      <w:bookmarkEnd w:id="169"/>
    </w:p>
    <w:p>
      <w:bookmarkStart w:id="170" w:name="sc_body_170"/>
      <w:pPr/>
      <w:r>
        <w:t>При проверке выводов из подобных материалов автор предлагает различать достоверность передачи опыта и широту его применимости. Для качественного фрагмента необходимо установить, не изменён ли смысл высказывания и не представлены ли частные наблюдения как мнение всей городской общности. Но даже точная передача опыта не должна означать оценку прочности сооружения или измерение ветрового воздействия.</w:t>
      </w:r>
      <w:bookmarkEnd w:id="170"/>
    </w:p>
    <w:p>
      <w:bookmarkStart w:id="171" w:name="sc_body_171"/>
      <w:pPr/>
      <w:r>
        <w:t>В собственной схеме интервью предполагается использовать для формулирования вопросов о доступности защиты и условиях принятия решений. Для инженерного заключения требуется материал иного типа. Такое разделение предлагается сохранять в тексте каждого вывода, где социальный опыт соединяется с проектным решением.</w:t>
      </w:r>
      <w:bookmarkEnd w:id="171"/>
    </w:p>
    <w:p>
      <w:bookmarkStart w:id="172" w:name="sc_body_172"/>
      <w:pPr/>
      <w:r>
        <w:t>Для итоговой оценки адаптации автор предлагает вести реестр утверждений, а не только перечень выполненных вычислений. У каждого существенного утверждения следует указать предмет, пространственную и временную границу, характер опоры и допустимую формулировку. Например, вывод о пригодности участка для дальнейшего обследования требует иной опоры, чем утверждение о достигнутом снижении опасности.</w:t>
      </w:r>
      <w:bookmarkEnd w:id="172"/>
    </w:p>
    <w:p>
      <w:bookmarkStart w:id="173" w:name="sc_body_173"/>
      <w:pPr/>
      <w:r>
        <w:t>В предлагаемом реестре нельзя повышать статус утверждения простым добавлением ссылок на работы с другой постановкой. Следует проверить совпадение вопроса, объекта и типа результата. Если совпадает лишь методический приём, заимствование надлежит обозначить как предложение к проверке, а не как подтверждение локального эффекта.</w:t>
      </w:r>
      <w:bookmarkEnd w:id="173"/>
    </w:p>
    <w:p>
      <w:bookmarkStart w:id="174" w:name="sc_body_174"/>
      <w:pPr/>
      <w:r>
        <w:t>Отдельно автор предлагает определять условия пересмотра результата. Проверка должна завершаться не только разрешением использовать вывод, но и указанием, какое новое обстоятельство потребует вернуться к нему.</w:t>
      </w:r>
      <w:bookmarkEnd w:id="174"/>
    </w:p>
    <w:p>
      <w:bookmarkStart w:id="175" w:name="sc_body_175"/>
      <w:pPr/>
      <w:r>
        <w:t>Для пространственной рекомендации это может быть изменение исходного слоя или постановки задачи; для экспертной — появление существенного возражения с относимым основанием; для документальной — получение сведений о фактическом исполнении. Эти примеры предлагаются как категории будущего регламента, а не как события, уже выявленные на территории. Запись условий пересмотра придаёт проверке предметную завершённость: становится ясно, какой вывод принят сейчас и почему его нельзя переносить на любую последующую ситуацию.</w:t>
      </w:r>
      <w:bookmarkEnd w:id="175"/>
    </w:p>
    <w:p>
      <w:bookmarkStart w:id="176" w:name="sc_body_176"/>
      <w:pPr/>
      <w:r>
        <w:t>Автор считает необходимым отдельно оформить отрицательные и неопределённые итоги проверки. Отрицательный итог следует связывать с конкретным несоответствием между утверждением и материалом; неопределённый — с недостающим основанием.</w:t>
      </w:r>
      <w:bookmarkEnd w:id="176"/>
    </w:p>
    <w:p>
      <w:bookmarkStart w:id="177" w:name="sc_body_177"/>
      <w:pPr/>
      <w:r>
        <w:t>В предлагаемом порядке отсутствие сведений о действии меры не должно автоматически превращаться в вывод о её неэффективности, а благоприятная модельная оценка — в вывод о выполненном снижении риска. Для каждой категории следует предложить следующий шаг: изменить формулировку, получить материал нужного типа или отказаться от рассматриваемой альтернативы. Такая процедура нужна для содержательного решения о продолжении оценки, а не для формального накопления замечаний без влияния на рекомендацию.</w:t>
      </w:r>
      <w:bookmarkEnd w:id="177"/>
    </w:p>
    <w:p>
      <w:bookmarkStart w:id="178" w:name="sc_body_178"/>
      <w:pPr/>
      <w:r>
        <w:t>В предлагаемом автором паспорте валидации окончательное заключение должно содержать отдельные ответы о корректности данных, устойчивости расчёта, границах причинной трактовки и допустимом применении. Не следует объединять их словом «подтверждено», если хотя бы один необходимый ответ остался условным.</w:t>
      </w:r>
      <w:bookmarkEnd w:id="178"/>
    </w:p>
    <w:p>
      <w:bookmarkStart w:id="179" w:name="sc_body_179"/>
      <w:pPr/>
      <w:r>
        <w:t>Для настоящей работы приемлемым результатом предлагается считать обоснованную методическую рамку и критический разбор опубликованных процедур. Она не заменяет местное наблюдение и не создаёт отсутствующего эксперимента. Дальнейшую проверку конкретной меры следует проектировать отдельно, начиная с утверждения, которое предполагается получить, и заканчивая перечнем оснований, без которых это утверждение не будет принято.</w:t>
      </w:r>
      <w:bookmarkEnd w:id="179"/>
    </w:p>
    <w:p>
      <w:pPr>
        <w:pStyle w:val="Heading2"/>
      </w:pPr>
      <w:r>
        <w:t>2.3. Барьеры и условия внедрения</w:t>
      </w:r>
    </w:p>
    <w:p>
      <w:bookmarkStart w:id="181" w:name="sc_body_181"/>
      <w:pPr/>
      <w:r>
        <w:t>В этом разделе автор предлагает оценивать внедрение через условия принятия и исполнения конкретного решения. Формулировка «есть барьеры» недостаточна для проектного вывода: необходимо назвать, какое действие затруднено, на каком основании это предполагается и кто должен подтвердить возможность его выполнения. В собственной схеме барьером предлагается считать препятствие, связанное с определённой альтернативой и стадией её реализации. Общую неудовлетворённость положением дел следует сохранять как повод для уточнения вопроса. Такое различение нужно, чтобы не выдавать перечень проблем за готовое объяснение невозможности адаптации и не предлагать меры, не соотнесённые с выявленным препятствием.</w:t>
      </w:r>
      <w:bookmarkEnd w:id="181"/>
    </w:p>
    <w:p>
      <w:bookmarkStart w:id="182" w:name="sc_body_182"/>
      <w:pPr/>
      <w:r>
        <w:t>Работа о местной осуществимости адаптации использует сельское хозяйство и животноводство Пуэрто-Морасана в Никарагуа как проверку предложенного подхода. Авторы дополняют рамку оценки участием местных экспертов и учётом локальных приоритетов. Они сообщают, что значимость измерений и критериев неодинакова и что оценка вариантов меняется при включении местных приоритетов; в рассмотренном случае особенно значимы экологическое и экономическое измерения. Это результат секторной местной оценки, а не исследование внедрения городской ветровой защиты [1].</w:t>
      </w:r>
      <w:bookmarkEnd w:id="182"/>
    </w:p>
    <w:p>
      <w:bookmarkStart w:id="183" w:name="sc_body_183"/>
      <w:pPr/>
      <w:r>
        <w:t>Для настоящей работы автор предлагает перенести только логику уточнения условий и приоритетов. Не следует переносить сами оценки сельскохозяйственных вариантов на городские мероприятия. В проектируемой процедуре сначала необходимо сформулировать городскую альтернативу, затем выделить необходимые условия её выполнения и лишь после этого обсуждать значимость критериев. Согласие участников с важностью условия не должно означать, что условие уже обеспечено. Поэтому автор предлагает вести отдельно сведения о приоритетах и подтверждения готовности. Для дальнейшей рекомендации важно знать не только желательность меры, но и то, какое конкретное действие остаётся неподготовленным и какое решение требуется для его подготовки.</w:t>
      </w:r>
      <w:bookmarkEnd w:id="183"/>
    </w:p>
    <w:p>
      <w:bookmarkStart w:id="184" w:name="sc_body_184"/>
      <w:pPr/>
      <w:r>
        <w:t>В изложенной в никарагуанской работе рамке осуществимость рассматривается через экономическое, технологическое, институциональное, социокультурное, экологическое и геофизическое измерения. При оценке индикатора различаются препятствие, отсутствие измеримого влияния и отсутствие барьера. Также предусмотрены обозначения неприменимости, отсутствия свидетельств и ограниченности свидетельств. Тем самым исходная классификация допускает явное отражение недостатка информации, не сводя все случаи к положительной или отрицательной оценке варианта [1].</w:t>
      </w:r>
      <w:bookmarkEnd w:id="184"/>
    </w:p>
    <w:p>
      <w:bookmarkStart w:id="185" w:name="sc_body_185"/>
      <w:pPr/>
      <w:r>
        <w:t>Автор предлагает сохранить это различение в проектной карточке внедрения. Для каждого условия следует записывать его смысл применительно к выбранной мере, материал проверки и допустимый вывод. Если сведений нет, условие должно оставаться неопределённым; если оно не относится к данной альтернативе, нужно объяснить почему. Не следует заполнять пустую ячейку средним баллом ради завершённого рейтинга. В предлагаемой схеме отсутствие данных об обслуживании не означает ни невозможности ухода, ни подтверждённой способности его организовать. Такая запись должна привести к конкретному запросу исполнителю, после ответа на который оценку можно уточнить, сохранив прежнее основание и причину изменения.</w:t>
      </w:r>
      <w:bookmarkEnd w:id="185"/>
    </w:p>
    <w:p>
      <w:bookmarkStart w:id="186" w:name="sc_body_186"/>
      <w:pPr/>
      <w:r>
        <w:t>Для институционального условия автор предлагает проверить последовательность полномочий по каждой мере: кто вправе выбрать альтернативу, согласовать использование участка, принять результат и обеспечить дальнейшее содержание. В настоящей работе не утверждается, как эти полномочия распределены на какой-либо территории; предлагается способ их выяснения перед решением.</w:t>
      </w:r>
      <w:bookmarkEnd w:id="186"/>
    </w:p>
    <w:p>
      <w:bookmarkStart w:id="187" w:name="sc_body_187"/>
      <w:pPr/>
      <w:r>
        <w:t>Следует отдельно рассмотреть ситуацию, при которой полномочие названо, но не подтверждено согласие исполнителя, и ситуацию, при которой исполнитель согласен, но предмет его обязательства не определён. В обеих ситуациях рекомендацию необходимо формулировать как условную. Название ответственного органа в описании проекта автор предлагает считать началом проверки, а не доказательством организационной готовности.</w:t>
      </w:r>
      <w:bookmarkEnd w:id="187"/>
    </w:p>
    <w:p>
      <w:bookmarkStart w:id="188" w:name="sc_body_188"/>
      <w:pPr/>
      <w:r>
        <w:t>В исследовании на Доминике один из участников говорил о необходимости более ясного распределения ролей и координации между правительством и местными советами после экстремального события. Он также выражал обеспокоенность выборочным распределением помощи. Авторы обсуждают такие свидетельства как возможные препятствия адаптации и источник дополнительной уязвимости. Эти положения передают содержание участнического опыта и его интерпретацию в исследовании, а не результаты проверки всех процедур распределения помощи [2].</w:t>
      </w:r>
      <w:bookmarkEnd w:id="188"/>
    </w:p>
    <w:p>
      <w:bookmarkStart w:id="189" w:name="sc_body_189"/>
      <w:pPr/>
      <w:r>
        <w:t>В авторском предложении для внедрения из этого материала следует вынести вопрос о проверяемости распределения, не распространяя локальную оценку на другие территории. До выбора мероприятия предлагается сформулировать правило доступа к результату: кого оно должно защищать, как определяются границы обслуживания и как рассматриваются возражения.</w:t>
      </w:r>
      <w:bookmarkEnd w:id="189"/>
    </w:p>
    <w:p>
      <w:bookmarkStart w:id="190" w:name="sc_body_190"/>
      <w:pPr/>
      <w:r>
        <w:t>Если предполагается очередность вмешательств, основание очередности должно быть сопоставимо с целью защиты. Автор предлагает отдельно показывать проекты, отложенные из-за недостатка сведений, и проекты, отклонённые по содержательным причинам. Это нужно для объяснимости решения; само существование такой процедуры не следует заранее объявлять доказанным устранением несправедливости или повышением доверия.</w:t>
      </w:r>
      <w:bookmarkEnd w:id="190"/>
    </w:p>
    <w:p>
      <w:bookmarkStart w:id="191" w:name="sc_body_191"/>
      <w:pPr/>
      <w:r>
        <w:t>Авторы исследования Доминики предупреждают об ограниченном разнообразии представленного опыта: недавние штормовые и ураганные события повлияли на привлечение участников и содержание ответов. Они подчёркивают сосредоточенность материала на чрезвычайных ситуациях и реакции на них. Поэтому предложенное исследованием понимание местной адаптационной способности связано с определённым кругом пережитых событий и перспектив участников; дальнейшая оценка мероприятий после перемещения остаётся задачей будущих исследований [2].</w:t>
      </w:r>
      <w:bookmarkEnd w:id="191"/>
    </w:p>
    <w:p>
      <w:bookmarkStart w:id="192" w:name="sc_body_192"/>
      <w:pPr/>
      <w:r>
        <w:t>Для проектируемого обсуждения мер автор предлагает не ограничиваться вопросом «поддерживаете ли вы адаптацию». Следует предъявлять конкретную альтернативу вместе с условиями использования и спрашивать о понятности решения, доступе к предполагаемой защите и обязанностях после выполнения работ. Ответы предлагается анализировать по предмету возражения: несогласие с целью, с местом, со способом исполнения или с порядком дальнейшего содержания.</w:t>
      </w:r>
      <w:bookmarkEnd w:id="192"/>
    </w:p>
    <w:p>
      <w:bookmarkStart w:id="193" w:name="sc_body_193"/>
      <w:pPr/>
      <w:r>
        <w:t>Из наличия возражения не следует автоматически заключать о сопротивлении адаптации. В собственной схеме оно должно вести к уточнению альтернативы либо к объяснению отказа от неё. Итог обсуждения следует описывать как материал для решения, сохраняя различие между участническим суждением и проверкой технической пригодности.</w:t>
      </w:r>
      <w:bookmarkEnd w:id="193"/>
    </w:p>
    <w:p>
      <w:bookmarkStart w:id="194" w:name="sc_body_194"/>
      <w:pPr/>
      <w:r>
        <w:t>В сравнительном обзоре городских планов авторы отмечают разрыв между заметной ролью здоровья в общих целях и более ограниченным включением органов общественного здоровья в различные направления адаптации. Их участие чаще концентрировалось в отдельных тематических приоритетах, чем проходило через весь план. При этом исследователи оценивали сообщённые намерения, а не фактические действия, и прямо указывают на неполноту сведений и непредставительность выборки. Поэтому результат позволяет обсуждать содержание изученных документов, сохраняя ограничения вывода о реальном управлении [5].</w:t>
      </w:r>
      <w:bookmarkEnd w:id="194"/>
    </w:p>
    <w:p>
      <w:bookmarkStart w:id="195" w:name="sc_body_195"/>
      <w:pPr/>
      <w:r>
        <w:t>Автор предлагает использовать в оценке внедрения самостоятельную проверку межведомственного согласования. Для каждой меры следует сформулировать, какое содержательное заключение ожидается от участника решения, а не ограничиваться включением его названия в перечень согласующих сторон. Одному участнику может быть предложено проверить пригодность исходных сведений, другому — условия эксплуатации, третьему — доступность предполагаемой защиты.</w:t>
      </w:r>
      <w:bookmarkEnd w:id="195"/>
    </w:p>
    <w:p>
      <w:bookmarkStart w:id="196" w:name="sc_body_196"/>
      <w:pPr/>
      <w:r>
        <w:t>Здесь задаются роли будущей процедуры, а не описывается существующая организация. Если требуемое заключение не получено, необходимо указывать конкретный незакрытый вопрос. Сводное слово «согласовано» автор предлагает использовать только в пределах тех условий, которые были явно рассмотрены.</w:t>
      </w:r>
      <w:bookmarkEnd w:id="196"/>
    </w:p>
    <w:p>
      <w:bookmarkStart w:id="197" w:name="sc_body_197"/>
      <w:pPr/>
      <w:r>
        <w:t>Финансовую сторону внедрения в настоящей работе предлагается описывать через границы обязательства. Следует раздельно сформулировать, какие действия относятся к подготовке, выполнению, последующему содержанию и проверке результата. Для каждого действия требуется установить предполагаемого исполнителя и основание принятия обязательства, не подставляя условную сумму вместо отсутствующего расчёта. Если оценена только подготовка, нельзя объявлять обеспеченным весь жизненный цикл меры. Автор предлагает принимать к дальнейшему проектированию альтернативу с явно обозначенным пробелом финансирования только при условии, что само решение на этой стадии ограничено подготовительными действиями и не выдаётся за готовность к реализации.</w:t>
      </w:r>
      <w:bookmarkEnd w:id="197"/>
    </w:p>
    <w:p>
      <w:bookmarkStart w:id="198" w:name="sc_body_198"/>
      <w:pPr/>
      <w:r>
        <w:t>Эксплуатационное условие автор предлагает рассматривать ещё при отборе альтернатив. В карточке должны быть определены ожидаемое состояние элемента, способ проверки этого состояния, действие при отклонении и лицо, которому передаётся соответствующий вопрос. Без такого описания выражение «обеспечить содержание» остаётся непроверяемым поручением.</w:t>
      </w:r>
      <w:bookmarkEnd w:id="198"/>
    </w:p>
    <w:p>
      <w:bookmarkStart w:id="199" w:name="sc_body_199"/>
      <w:pPr/>
      <w:r>
        <w:t>Для озеленения следует отдельно сформулировать предмет обслуживания, для системы оповещения — порядок поддержания её готовности, для пространственного анализа — условие обновления сведений. Эти направления предлагаются как категории проектирования и не содержат утверждений об уже действующих службах. Если порядок не определён, рекомендацию необходимо ограничить разработкой такого порядка до принятия обязательства по выполнению меры.</w:t>
      </w:r>
      <w:bookmarkEnd w:id="199"/>
    </w:p>
    <w:p>
      <w:bookmarkStart w:id="200" w:name="sc_body_200"/>
      <w:pPr/>
      <w:r>
        <w:t>Информационный барьер автор предлагает проверять через связь недостающего материала с решением. Важно указать, без каких сведений нельзя выбрать альтернативу, а какие лишь желательны для детализации. Не всякую неопределённость следует превращать в требование бесконечного сбора данных.</w:t>
      </w:r>
      <w:bookmarkEnd w:id="200"/>
    </w:p>
    <w:p>
      <w:bookmarkStart w:id="201" w:name="sc_body_201"/>
      <w:pPr/>
      <w:r>
        <w:t>В проектируемой процедуре предлагается спросить: изменится ли допустимый выбор при разных правдоподобных ответах на открытый вопрос? Если изменится, получение сведений должно предшествовать решению. Если нет, возможно условное продвижение с явной оговоркой и последующей проверкой. Такая логика относится к обоснованию очередности работы; она не означает, что в настоящем исследовании уже измерена цена информации или доказана достаточность конкретного набора материалов.</w:t>
      </w:r>
      <w:bookmarkEnd w:id="201"/>
    </w:p>
    <w:p>
      <w:bookmarkStart w:id="202" w:name="sc_body_202"/>
      <w:pPr/>
      <w:r>
        <w:t>Для разрешения конфликта приоритетов автор предлагает различать обязательное условие и предпочтительный признак. Обязательное условие должно быть связано с допустимостью варианта; предпочтительный признак — с выбором между допустимыми вариантами. Не следует компенсировать невыполненное обязательное условие высоким баллом по привлекательности.</w:t>
      </w:r>
      <w:bookmarkEnd w:id="202"/>
    </w:p>
    <w:p>
      <w:bookmarkStart w:id="203" w:name="sc_body_203"/>
      <w:pPr/>
      <w:r>
        <w:t>Одновременно автор предлагает требовать объяснения, почему условие объявлено обязательным: оно не должно становиться способом скрыто исключить нежелательную альтернативу. При споре о статусе условия предлагается вынести его на отдельное решение и зафиксировать аргументы сторон. Общий рейтинг в такой ситуации должен сопровождаться условными вариантами, показывающими, как меняется выбор при разных явно принятых основаниях.</w:t>
      </w:r>
      <w:bookmarkEnd w:id="203"/>
    </w:p>
    <w:p>
      <w:bookmarkStart w:id="204" w:name="sc_body_204"/>
      <w:pPr/>
      <w:r>
        <w:t>Авторская схема внедрения предполагает передачу меры между стадиями только после проверки соответствующего предмета. На стадии обоснования следует принять вопрос и допустимую альтернативу; на стадии подготовки — условия выполнения; на стадии исполнения — соответствие выполненного согласованному действию; на стадии оценки — относимый результат. Эти стадии предлагаются как логические различия, а не как описание проведённого проекта. Решение о переходе не должно подтверждаться документом, созданным для другой задачи. Например, положительный отзыв об идее следует сохранять именно как отзыв, пока не проверены условия выполнения. Такой порядок позволяет формулировать ограниченные решения даже при незавершённости всей программы.</w:t>
      </w:r>
      <w:bookmarkEnd w:id="204"/>
    </w:p>
    <w:p>
      <w:bookmarkStart w:id="205" w:name="sc_body_205"/>
      <w:pPr/>
      <w:r>
        <w:t>Для каждой открытой позиции автор предлагает назначать не абстрактный срок «устранения барьера», а проверяемый результат следующего действия. Им может быть уточнённое условие использования участка, согласованное описание обязанности или материал для пересмотра альтернативы.</w:t>
      </w:r>
      <w:bookmarkEnd w:id="205"/>
    </w:p>
    <w:p>
      <w:bookmarkStart w:id="206" w:name="sc_body_206"/>
      <w:pPr/>
      <w:r>
        <w:t>Если выполнить действие невозможно, следует пересмотреть решение, а не сохранять неизменный проект под пометкой о временных трудностях. В предлагаемом порядке важна также возможность отказа: мера, для которой обязательное условие не может быть обеспечено, должна уступить место другой рассматриваемой альтернативе либо остаться вне реализации. Такой отказ предлагается понимать как результат оценки осуществимости, не приписывая ему доказательство отсутствия адаптационной потребности.</w:t>
      </w:r>
      <w:bookmarkEnd w:id="206"/>
    </w:p>
    <w:p>
      <w:bookmarkStart w:id="207" w:name="sc_body_207"/>
      <w:pPr/>
      <w:r>
        <w:t>Итог раздела автор формулирует как предложение условного паспорта внедрения. Он должен связывать цель меры, допустимый вариант, обязательные условия, открытые вопросы, согласованное действие и порядок пересмотра.</w:t>
      </w:r>
      <w:bookmarkEnd w:id="207"/>
    </w:p>
    <w:p>
      <w:bookmarkStart w:id="208" w:name="sc_body_208"/>
      <w:pPr/>
      <w:r>
        <w:t>Представленные исследования используются для критического разбора подходов к осуществимости, участническому опыту и межведомственному включению, а не для описания состояния неизвестного города. В настоящей работе не устанавливается фактическая готовность местных учреждений и не сообщается о реализованном проекте. Практический смысл предложенной схемы заключается в возможности принять предметное решение о подготовке следующего шага, сохранив границы знания и не выдавая желательность адаптации за доказанную готовность её выполнить.</w:t>
      </w:r>
      <w:bookmarkEnd w:id="208"/>
    </w:p>
    <w:p>
      <w:pPr>
        <w:pStyle w:val="Heading1"/>
        <w:pageBreakBefore/>
      </w:pPr>
      <w:r>
        <w:t>3. Сравнение подходов и ограничения анализа</w:t>
      </w:r>
    </w:p>
    <w:p>
      <w:pPr>
        <w:pStyle w:val="Heading2"/>
      </w:pPr>
      <w:r>
        <w:t>3.1. Критерии сопоставления опубликованных результатов</w:t>
      </w:r>
    </w:p>
    <w:p>
      <w:bookmarkStart w:id="211" w:name="sc_body_211"/>
      <w:pPr/>
      <w:r>
        <w:t>Критерии сопоставления в этом разделе разрабатываются как авторская аналитическая конструкция. Её задача — не получить общий рейтинг научных публикаций, а показать, какие выводы допустимо ставить рядом. Предлагается сравнивать исследовательские вопросы, единицы рассмотрения, операции, способы проверки и пределы переноса. Одинаковые слова в выводах не считаются достаточным основанием для объединения результатов.</w:t>
      </w:r>
      <w:bookmarkEnd w:id="211"/>
    </w:p>
    <w:p>
      <w:bookmarkStart w:id="212" w:name="sc_body_212"/>
      <w:pPr/>
      <w:r>
        <w:t>Авторы обзора городских планов прямо указывают, что изучали доступные публично документы и сообщённые намерения, а не фактические действия. Они предупреждают о неполном отражении деятельности и о целевом выборе активно ориентированных на здоровье городов из непредставительного исходного корпуса. Поэтому результаты предлагается читать как указания на тенденции в рассматриваемом материале; обобщение на все крупные города авторы исключают. [5]</w:t>
      </w:r>
      <w:bookmarkEnd w:id="212"/>
    </w:p>
    <w:p>
      <w:bookmarkStart w:id="213" w:name="sc_body_213"/>
      <w:pPr/>
      <w:r>
        <w:t>В качестве исходного критерия автор предлагает соответствие между объектом наблюдения и языком вывода. Карточка должна позволять ответить, идёт ли речь о документе, высказывании, классифицированном участке или расчётном сравнении. Если эти объекты различаются, результаты можно обсуждать в общей работе, но нельзя складывать как значения одной шкалы. Для каждого перехода потребуется самостоятельное обоснование.</w:t>
      </w:r>
      <w:bookmarkEnd w:id="213"/>
    </w:p>
    <w:p>
      <w:bookmarkStart w:id="214" w:name="sc_body_214"/>
      <w:pPr/>
      <w:r>
        <w:t>Следующим критерием предлагается граница представляемой совокупности. Авторская матрица должна сохранять условие отбора и не расширять его через краткое название исследования. Удобный результат в ограниченном материале не получает автоматически более широкую область действия. Если автор обзора хочет сделать такой перенос, ему следует сформулировать отдельный аргумент и указать, каким наблюдением его можно было бы опровергнуть.</w:t>
      </w:r>
      <w:bookmarkEnd w:id="214"/>
    </w:p>
    <w:p>
      <w:bookmarkStart w:id="215" w:name="sc_body_215"/>
      <w:pPr/>
      <w:r>
        <w:t>Для обзора городских планов авторы искали общедоступные документы и включали планы, соответствующие установленному временному условию. Города, для которых не найден единый план и доступная информация ограничивалась сетевыми страницами, сообщениями прессы или ведомственными отчётами, исключались как недостаточные для принятого анализа. Внутри группы выполнялась взаимная проверка пригодности документов; недоступные на английском материалы переводились. [5]</w:t>
      </w:r>
      <w:bookmarkEnd w:id="215"/>
    </w:p>
    <w:p>
      <w:bookmarkStart w:id="216" w:name="sc_body_216"/>
      <w:pPr/>
      <w:r>
        <w:t>Отбор документов предлагается сопоставлять по правилу включения, а не по одному итоговому размеру корпуса. В карточке нужно сохранить, какой документ считался достаточным для ответа и какие случаи исключались. Автор не предлагает объявлять большой корпус всегда лучше малого. Важно, чтобы единица включения соответствовала исследовательскому вопросу и чтобы читатель видел, какие альтернативные документы остались за границей.</w:t>
      </w:r>
      <w:bookmarkEnd w:id="216"/>
    </w:p>
    <w:p>
      <w:bookmarkStart w:id="217" w:name="sc_body_217"/>
      <w:pPr/>
      <w:r>
        <w:t>Для будущего обзора автор предлагает до извлечения результатов определить, какой материал считается сопоставимым. При изменении правила в процессе работы следует объяснить, зачем оно менялось и как это затрагивает вопрос. Такая запись не должна служить разрешением добавлять удобные случаи. Настоящая работа формулирует критерий прозрачности, но не заявляет проведение нового систематического поиска.</w:t>
      </w:r>
      <w:bookmarkEnd w:id="217"/>
    </w:p>
    <w:p>
      <w:bookmarkStart w:id="218" w:name="sc_body_218"/>
      <w:pPr/>
      <w:r>
        <w:t>В ограничениях обзора планов авторы описывают недостаточность материала для городов стран с низким и средним доходом и смещение использованной базы в сторону стран с высоким доходом. Они отдельно отмечают неравномерное региональное представление и малый размер рассматриваемой группы. Указанные ограничения относятся к доступности и устройству корпуса; они не разрешают распространять соотношения, найденные в нём, на отсутствующие города. [5]</w:t>
      </w:r>
      <w:bookmarkEnd w:id="218"/>
    </w:p>
    <w:p>
      <w:bookmarkStart w:id="219" w:name="sc_body_219"/>
      <w:pPr/>
      <w:r>
        <w:t>При оценке покрытия автор предлагает сохранять асимметрию доступного материала. Она не должна исчезать за общей географической формулировкой. В собственной матрице следует отдельно спрашивать, какие направления сравнения вообще доступны и какие остаются открытыми. Отсутствующий материал не предлагается заполнять средним значением, предположением о сходстве или ссылкой на популярность исследовательской темы.</w:t>
      </w:r>
      <w:bookmarkEnd w:id="219"/>
    </w:p>
    <w:p>
      <w:bookmarkStart w:id="220" w:name="sc_body_220"/>
      <w:pPr/>
      <w:r>
        <w:t>Сопоставление может завершиться признанием несопоставимости в определённом вопросе. Автор предлагает считать это содержательным выводом, если точно указана причина: различается предмет, отсутствует необходимое наблюдение или не определён общий критерий. Такое решение не равно отказу от анализа. Оно сохраняет задачу для дальнейшего исследования и предотвращает появление общей оценки, смысл которой нельзя объяснить.</w:t>
      </w:r>
      <w:bookmarkEnd w:id="220"/>
    </w:p>
    <w:p>
      <w:bookmarkStart w:id="221" w:name="sc_body_221"/>
      <w:pPr/>
      <w:r>
        <w:t>В описании совместного семинара Пуэрто-Морасана авторы раскрывают состав участников: представлены местные производители, рыболовство, представители водного комитета, муниципалитета и образования. Статья также прямо сообщает о неравном гендерном составе. Это описание конкретного способа совместного построения материала. Его нельзя заменить общим словом «общественность», не потеряв сведения о том, чьи позиции были включены в рассмотрение. [1]</w:t>
      </w:r>
      <w:bookmarkEnd w:id="221"/>
    </w:p>
    <w:p>
      <w:bookmarkStart w:id="222" w:name="sc_body_222"/>
      <w:pPr/>
      <w:r>
        <w:t>Для исследования с участием заинтересованных лиц предлагается отдельно оценивать устройство представления перспектив. В матрице автора размер группы и разнообразие её ролей должны описываться разными полями. Нельзя предполагать, что любое увеличение числа участников автоматически решает вопрос включённости. Для этого потребовалось бы понять, чья перспектива нужна по предмету исследования и каким способом она представлена.</w:t>
      </w:r>
      <w:bookmarkEnd w:id="222"/>
    </w:p>
    <w:p>
      <w:bookmarkStart w:id="223" w:name="sc_body_223"/>
      <w:pPr/>
      <w:r>
        <w:t>При сравнении с документальным обзором автор предлагает задавать общий вопрос об отборе, сохраняя различие материала. Участник не рассматривается как документ, а документ не наделяется собственным опытом. Общим является требование объяснить включение случая. На этом уровне подходы можно обсуждать вместе без попытки привести их к одному числовому показателю представительности.</w:t>
      </w:r>
      <w:bookmarkEnd w:id="223"/>
    </w:p>
    <w:p>
      <w:bookmarkStart w:id="224" w:name="sc_body_224"/>
      <w:pPr/>
      <w:r>
        <w:t>При изложении рамки осуществимости статья Пуэрто-Морасана различает суждение о препятствии, отсутствие положительного или отрицательного воздействия и отсутствие барьера. Дополнительно предусмотрены отметки неприменимости, отсутствия свидетельства и ограниченного свидетельства. Такие категории относятся к разным основаниям оценки. В частности, отсутствие свидетельства в самой описанной рамке не тождественно утверждению, что препятствия реализации не существует. [1]</w:t>
      </w:r>
      <w:bookmarkEnd w:id="224"/>
    </w:p>
    <w:p>
      <w:bookmarkStart w:id="225" w:name="sc_body_225"/>
      <w:pPr/>
      <w:r>
        <w:t>Категории отсутствия или ограниченности материала предлагается не объединять с оценкой неблагоприятного условия. В авторской матрице это разные основания для дальнейшего действия. Если нет свидетельства, потребуется определить способ наблюдения; если обнаружено препятствие, потребуется уточнить предмет возможного изменения. Подмена одного другим могла бы сделать итоговое ранжирование удобным, но не объяснила бы, что именно следует исследовать дальше.</w:t>
      </w:r>
      <w:bookmarkEnd w:id="225"/>
    </w:p>
    <w:p>
      <w:bookmarkStart w:id="226" w:name="sc_body_226"/>
      <w:pPr/>
      <w:r>
        <w:t>Автор предлагает использовать текстовую запись основания наряду с условным обозначением. Именно она должна позволять восстановить, почему выбрана категория и какую альтернативу рассматривали. В настоящей работе не конструируется новый числовой индекс и не назначаются произвольные веса видам свидетельств. Предлагается сохранять различия до тех пор, пока не определено содержательное основание их объединения.</w:t>
      </w:r>
      <w:bookmarkEnd w:id="226"/>
    </w:p>
    <w:p>
      <w:bookmarkStart w:id="227" w:name="sc_body_227"/>
      <w:pPr/>
      <w:r>
        <w:t>Авторы Пуэрто-Морасана предлагают обсуждение приоритетов и последующее объединение индивидуальных оценок с представлением через категориальную систему. Она различает высокую, среднюю и низкую осуществимость в зависимости от интервала итоговой оценки. Категории описаны как части принятой оценочной процедуры. Их назначение — представить оценку барьеров реализации; они не сообщают величину предотвращённого ущерба или результат испытания инфраструктуры. [1]</w:t>
      </w:r>
      <w:bookmarkEnd w:id="227"/>
    </w:p>
    <w:p>
      <w:bookmarkStart w:id="228" w:name="sc_body_228"/>
      <w:pPr/>
      <w:r>
        <w:t>Шкалу оценивания предлагается читать вместе с правилом перехода к итоговой категории. В сравнительной матрице автора недостаточно совпадения слов о высокой или средней оценке. Требуется понимать, одинаковый ли объект оценивается и одинаковая ли операция приводит к категории. Если это не установлено, предлагается сравнивать структуру рассуждения, сохраняя сами категории внутри своих исследовательских задач.</w:t>
      </w:r>
      <w:bookmarkEnd w:id="228"/>
    </w:p>
    <w:p>
      <w:bookmarkStart w:id="229" w:name="sc_body_229"/>
      <w:pPr/>
      <w:r>
        <w:t>Для будущего проекта автор предлагает заранее описать, какое практическое решение может измениться при переходе между категориями. Иначе границы шкалы будут выглядеть точными, но не будут связаны с вопросом пользователя. В настоящей работе такой переход не калибруется. Любое утверждение о практической достаточности категории должно быть предметом отдельного обоснования, а не следствием самого её названия.</w:t>
      </w:r>
      <w:bookmarkEnd w:id="229"/>
    </w:p>
    <w:p>
      <w:bookmarkStart w:id="230" w:name="sc_body_230"/>
      <w:pPr/>
      <w:r>
        <w:t>Китайская работа определяет городскую климатическую устойчивость через способность к адаптации с включением стабильности, координации и трансформации и строит соответствующую систему показателей. В итоговом изложении она сообщает положительную оценку политики и результаты проверки посреднических и модераторных связей. Именно этот определённый авторами показатель является предметом расчётного результата, а не любая характеристика города, которую можно назвать устойчивостью. [4]</w:t>
      </w:r>
      <w:bookmarkEnd w:id="230"/>
    </w:p>
    <w:p>
      <w:bookmarkStart w:id="231" w:name="sc_body_231"/>
      <w:pPr/>
      <w:r>
        <w:t>При сопоставлении сложного показателя с отдельным наблюдением автор предлагает удерживать различие уровней описания. Сводное понятие не должно автоматически приписывать одинаковое направление всем своим возможным составляющим. В карточке нужно отдельно сохранить определение показателя и то, что фактически оценено в расчёте. Настоящая работа не разлагает опубликованный эффект и не сообщает собственных результатов по его компонентам.</w:t>
      </w:r>
      <w:bookmarkEnd w:id="231"/>
    </w:p>
    <w:p>
      <w:bookmarkStart w:id="232" w:name="sc_body_232"/>
      <w:pPr/>
      <w:r>
        <w:t>Критерием корректности переноса автор предлагает сделать сохранение смысла результата. Если практический вопрос касается иной характеристики, требуется явно сформулировать промежуточный аргумент. Его нельзя заменить общим словом об устойчивости. В проекте матрицы такое расхождение отмечается как незавершённый переход, даже если исходный результат убедительно описан внутри своего исследования.</w:t>
      </w:r>
      <w:bookmarkEnd w:id="232"/>
    </w:p>
    <w:p>
      <w:bookmarkStart w:id="233" w:name="sc_body_233"/>
      <w:pPr/>
      <w:r>
        <w:t>В исследовании Тегерана итог теоретико-цепного расчёта представлен как карта плотности тока с интенсивностью в амперах. Авторы интерпретируют более высокий ток как более сильную связность и описывают изменение пространственной концентрации расчётных потоков. Следовательно, единица принадлежит принятому модельному представлению. Величина на этой карте сама по себе не является величиной изменения температуры или измерением медицинского исхода. [3]</w:t>
      </w:r>
      <w:bookmarkEnd w:id="233"/>
    </w:p>
    <w:p>
      <w:bookmarkStart w:id="234" w:name="sc_body_234"/>
      <w:pPr/>
      <w:r>
        <w:t>При сопоставлении модельных единиц автор предлагает начинать с их происхождения. Число, полученное внутри расчётного представления, не следует переводить в физический или социальный эффект по сходству названия. В матрице потребуется запись о том, что означает величина в данной модели. Если такой смысл нельзя объяснить будущему пользователю, практическую рекомендацию следует оставить условной.</w:t>
      </w:r>
      <w:bookmarkEnd w:id="234"/>
    </w:p>
    <w:p>
      <w:bookmarkStart w:id="235" w:name="sc_body_235"/>
      <w:pPr/>
      <w:r>
        <w:t>Итог раздела представляет проект сравнительной карточки: вопрос, единица рассмотрения, правило отбора, операция, проверка, предел вывода и предполагаемый следующий шаг. Автор предлагает заполнять её до написания общего заключения. Карточка не получает здесь измеренной надёжности и не становится стандартом оценки публикаций. Её ценность предлагается проверять в отдельной работе через воспроизводимость заполнения и разбор спорных решений.</w:t>
      </w:r>
      <w:bookmarkEnd w:id="235"/>
    </w:p>
    <w:p>
      <w:bookmarkStart w:id="236" w:name="sc_body_236"/>
      <w:pPr/>
      <w:r>
        <w:t>Для проверки самой сравнительной матрицы автор предлагает использовать пары содержательно сходных выводов с различающимся устройством доказательства. Пользователь должен объяснить, почему одинаковая итоговая формулировка не делает результаты тождественными. Эта задача могла бы проверить понятность полей и выявить смешение объекта и операции. В настоящей работе подобное испытание не проводилось, его задания не выдаются за валидированный учебный инструмент и результат не предполагается заранее успешным.</w:t>
      </w:r>
      <w:bookmarkEnd w:id="236"/>
    </w:p>
    <w:p>
      <w:bookmarkStart w:id="237" w:name="sc_body_237"/>
      <w:pPr/>
      <w:r>
        <w:t>Другой возможной проверкой является разбор формулировки без указания метода. Автор предлагает сначала восстановить, какой материал был бы необходим для такого утверждения, а затем сопоставить требование с доступным описанием исследования. Цель упражнения — сделать видимым скрытое ожидание обзорщика. Оно не должно превращаться в угадывание названия метода или в рейтинг научности. Способ проверки и правило оценки ответа потребуют отдельной разработки, если проект матрицы будет апробироваться.</w:t>
      </w:r>
      <w:bookmarkEnd w:id="237"/>
    </w:p>
    <w:p>
      <w:bookmarkStart w:id="238" w:name="sc_body_238"/>
      <w:pPr/>
      <w:r>
        <w:t>Для сохранения различий автор предлагает не заполнять общую итоговую колонку, пока не определён общий вопрос. В отдельных строках могут оставаться разные статусы знания. Это не нарушает структуру сравнения: общей является логика проверки перехода, а не обязательно общая единица результата. Если пользователю нужен единый выбор, потребуется отдельно объяснить правило предпочтения. Такое правило нельзя вывести из формы таблицы или автоматически заимствовать из наиболее подробной публикации.</w:t>
      </w:r>
      <w:bookmarkEnd w:id="238"/>
    </w:p>
    <w:p>
      <w:bookmarkStart w:id="239" w:name="sc_body_239"/>
      <w:pPr/>
      <w:r>
        <w:t>Сопоставление рекомендуется завершать записью о пределах собственной интерпретации. Обзорщик должен указать, какое различие он считает значимым для своего вопроса и почему. Такая запись не позволяет скрыться за нейтральным перечислением методов, но одновременно требует не присваивать источнику авторский вывод. В проекте карточки собственная интерпретация остаётся самостоятельным полем. Её можно оспорить, не отрицая точность пересказа исходного исследования.</w:t>
      </w:r>
      <w:bookmarkEnd w:id="239"/>
    </w:p>
    <w:p>
      <w:bookmarkStart w:id="240" w:name="sc_body_240"/>
      <w:pPr/>
      <w:r>
        <w:t>В авторской сравнительной оценке зелёная инфраструктура получает условное преимущество только для задачи выбора пространственного предмета дальнейшего исследования, когда требуется обсудить конфигурацию и связи участков. Направление поддержки населения предлагается предпочитать как предмет анализа, когда вопрос касается доступного человеку действия. Организационное направление следует рассматривать относительно согласования ролей и проверки исполнения. Слово о предпочтении обозначает соответствие вопросу, а не количественное превосходство воздействия.</w:t>
      </w:r>
      <w:bookmarkEnd w:id="240"/>
    </w:p>
    <w:p>
      <w:bookmarkStart w:id="241" w:name="sc_body_241"/>
      <w:pPr/>
      <w:r>
        <w:t>Объединить направления в проект автор предлагает через общий вопрос о переходе от места к действию и от действия к наблюдаемому результату. Пространственное основание может обозначить предмет следующего шага; описание доступа потребует уточнить предполагаемого пользователя; организационная часть должна определить, кто и что собирается сделать. В настоящей работе такая комбинация является логическим проектом. Её нельзя выдавать за обнаруженную синергию, пока не сформулировано самостоятельное наблюдение совместного результата.</w:t>
      </w:r>
      <w:bookmarkEnd w:id="241"/>
    </w:p>
    <w:p>
      <w:pPr>
        <w:pStyle w:val="Heading2"/>
      </w:pPr>
      <w:r>
        <w:t>3.2. Рекомендации и границы применимости</w:t>
      </w:r>
    </w:p>
    <w:p>
      <w:bookmarkStart w:id="243" w:name="sc_body_243"/>
      <w:pPr/>
      <w:r>
        <w:t>Рекомендации ниже имеют характер авторского проекта процедуры. Они не являются готовым планом городской адаптации, перечнем обязательных строительных решений или результатом апробации в органе управления. Предлагается порядок перехода от опубликованного вывода к условному практическому предложению с сохранением права остановить перенос. Особое внимание уделяется тому, как оформить недостаточность основания, не заменяя её внешне точной рекомендацией.</w:t>
      </w:r>
      <w:bookmarkEnd w:id="243"/>
    </w:p>
    <w:p>
      <w:bookmarkStart w:id="244" w:name="sc_body_244"/>
      <w:pPr/>
      <w:r>
        <w:t>Авторы Пуэрто-Морасана предлагают переносить понятия и методические подходы из литературы в местную оценку через определение вариантов, местных приоритетов и экспертное оценивание. Применение рассмотрено для приоритетных секторов Пуэрто-Морасана в Никарагуа. Этот фрагмент используется здесь как методическое основание обсуждения местного контекста; готовое доказательство эффективности городской инженерной меры из него в настоящей работе не выводится. [1]</w:t>
      </w:r>
      <w:bookmarkEnd w:id="244"/>
    </w:p>
    <w:p>
      <w:bookmarkStart w:id="245" w:name="sc_body_245"/>
      <w:pPr/>
      <w:r>
        <w:t>При заимствовании методической идеи автор рекомендует сначала сформулировать, какой именно переход она должна поддержать. Следует различить потребность уточнить варианты, обсудить приоритеты, проверить осуществимость или оценить последствие. В предлагаемом проекте выбор метода начинается с этого вопроса. Название удачной публикации не должно выполнять роль универсального обоснования для любого нового действия.</w:t>
      </w:r>
      <w:bookmarkEnd w:id="245"/>
    </w:p>
    <w:p>
      <w:bookmarkStart w:id="246" w:name="sc_body_246"/>
      <w:pPr/>
      <w:r>
        <w:t>Для каждого переноса предлагается составлять короткое условное решение. В нём нужно указать, какая часть исходного подхода используется, что требуется определить заново и при каком несоответствии перенос прекращается. Такое решение могло бы направлять подготовку исследования, но не заменяло бы его. В настоящей работе не установлено, какие конкретные городские условия удовлетворяют этому проекту требований.</w:t>
      </w:r>
      <w:bookmarkEnd w:id="246"/>
    </w:p>
    <w:p>
      <w:bookmarkStart w:id="247" w:name="sc_body_247"/>
      <w:pPr/>
      <w:r>
        <w:t>В обосновании методического изменения авторы Пуэрто-Морасана предлагают включить местное экспертное знание и приоритеты измерений и критериев. Цель приоритизации сформулирована как предотвращение упрощённого описания местных условий и вводящих в заблуждение выводов. Авторы отдельно признают возможность узких мест в конкретных измерениях осуществимости. Это предложение о способе оценки; его нельзя читать как установленное универсальное ранжирование городских задач. [1]</w:t>
      </w:r>
      <w:bookmarkEnd w:id="247"/>
    </w:p>
    <w:p>
      <w:bookmarkStart w:id="248" w:name="sc_body_248"/>
      <w:pPr/>
      <w:r>
        <w:t>Автор рекомендует сохранять основание приоритетов в доступной для обсуждения форме. Если в будущем проекте принят иной порядок значимости, следует объяснить, чьё суждение и какой предмет лежат в его основании. Молчаливое изменение правила ради желаемого результата не допускается предлагаемой процедурой. При этом сама прозрачность не должна описываться как доказательство правильности выбранного решения.</w:t>
      </w:r>
      <w:bookmarkEnd w:id="248"/>
    </w:p>
    <w:p>
      <w:bookmarkStart w:id="249" w:name="sc_body_249"/>
      <w:pPr/>
      <w:r>
        <w:t>В проект рекомендации предлагается включить правило пересмотра. Оно должно определять, какое новое обстоятельство требует вернуться к обсуждению приоритетов. Здесь не назначаются календарные интервалы и не выдумываются пороговые значения. Сначала будущему пользователю потребуется определить предмет наблюдения и ответственное действие; только после этого можно было бы обсуждать конкретную форму сигнала о пересмотре.</w:t>
      </w:r>
      <w:bookmarkEnd w:id="249"/>
    </w:p>
    <w:p>
      <w:bookmarkStart w:id="250" w:name="sc_body_250"/>
      <w:pPr/>
      <w:r>
        <w:t>В статье Пуэрто-Морасана авторы предлагают использовать рамку для рассмотрения того, как осуществимость могла бы меняться при ином потеплении, новых политических решениях или инвестициях. При этом прямо оговаривается необходимость более подробных сведений, включая климатические наблюдения, проекции и оценки самих вариантов. Следовательно, такие применения обозначены как возможные дополнительные задачи с требованием нового материала, а не как уже выполненные прогнозы для города. [1]</w:t>
      </w:r>
      <w:bookmarkEnd w:id="250"/>
    </w:p>
    <w:p>
      <w:bookmarkStart w:id="251" w:name="sc_body_251"/>
      <w:pPr/>
      <w:r>
        <w:t>Рекомендацию о возможном изменении условий автор предлагает формулировать как сценарный вопрос, сохраняя условность. В проекте нужно различать то, что известно из исходного материала, и то, что задаётся как предположение. Нельзя сообщать итог ещё не выполненного расчёта в форме установленного факта. Настоящая работа не создаёт прогноз и не подтверждает, что выбранная мера сохранит приемлемость при ином предположении.</w:t>
      </w:r>
      <w:bookmarkEnd w:id="251"/>
    </w:p>
    <w:p>
      <w:bookmarkStart w:id="252" w:name="sc_body_252"/>
      <w:pPr/>
      <w:r>
        <w:t>Для будущего применения автор рекомендует заранее объяснить, зачем рассматривается альтернативное условие. Оно должно менять содержательный вопрос к решению, а не просто расширять текст. Если материала для ответа недостаточно, сценарное обсуждение предлагается завершать перечнем недостающих наблюдений. Этот перечень не должен превращаться в обещание результата, который появится автоматически после сбора любых дополнительных сведений.</w:t>
      </w:r>
      <w:bookmarkEnd w:id="252"/>
    </w:p>
    <w:p>
      <w:bookmarkStart w:id="253" w:name="sc_body_253"/>
      <w:pPr/>
      <w:r>
        <w:t>Авторы Пуэрто-Морасана признают, что их анализ следует практике индивидуального представления вариантов, и обсуждают предел такого раздельного рассмотрения для синергий и компромиссов. Они предлагают дальнейшее обращение к системным подходам и траекториям адаптации. Этот фрагмент важен как явное ограничение способа анализа: конкретный совместный эффект сочетаний в рассматриваемой операции не рассчитывался. [1]</w:t>
      </w:r>
      <w:bookmarkEnd w:id="253"/>
    </w:p>
    <w:p>
      <w:bookmarkStart w:id="254" w:name="sc_body_254"/>
      <w:pPr/>
      <w:r>
        <w:t>При обсуждении сочетания действий автор рекомендует не объявлять совместимость только потому, что каждое действие выглядит желательным отдельно. В проектируемой процедуре потребуется явно поставить вопрос о том, что меняется при их совместном рассмотрении. Для подтверждения конкретной связи понадобится самостоятельное основание. Настоящая работа не рассчитывает совместный эффект и не назначает комбинацию мер для ненаблюдавшейся территории.</w:t>
      </w:r>
      <w:bookmarkEnd w:id="254"/>
    </w:p>
    <w:p>
      <w:bookmarkStart w:id="255" w:name="sc_body_255"/>
      <w:pPr/>
      <w:r>
        <w:t>Предлагается сохранять отдельное условное решение для случая несовместимости целей. В нём следовало бы объяснить, какое предпочтение требует согласования и кто должен участвовать в обсуждении. Вывод о необходимости такого обсуждения является авторским предложением, а не сообщением о проведённых переговорах. Итог будущего согласования нельзя заранее записывать как пользу сочетания действий.</w:t>
      </w:r>
      <w:bookmarkEnd w:id="255"/>
    </w:p>
    <w:p>
      <w:bookmarkStart w:id="256" w:name="sc_body_256"/>
      <w:pPr/>
      <w:r>
        <w:t>Исследование Тегерана предлагает использовать выявление ключевых узлов и узких мест связности для пространственного планирования и управления озеленением. Авторы обсуждают приоритеты вмешательств в разорванных или несвязанных коридорах и восстановление существующей растительности. Это сформулированное по пространственному анализу прикладное направление, а не отчёт о реализации предложенных вмешательств и наблюдении их последствий в настоящей ВКР. [3]</w:t>
      </w:r>
      <w:bookmarkEnd w:id="256"/>
    </w:p>
    <w:p>
      <w:bookmarkStart w:id="257" w:name="sc_body_257"/>
      <w:pPr/>
      <w:r>
        <w:t>Если публикация указывает пространственный приоритет, автор рекомендует читать его как начало следующего проектного вопроса. Потребуется отдельно определить предполагаемое действие и критерий его последующей оценки. Само выделенное место не должно автоматически задавать способ вмешательства. В этой работе ни одно проектное решение на такой основе не реализовано, а результат нового вмешательства не моделировался.</w:t>
      </w:r>
      <w:bookmarkEnd w:id="257"/>
    </w:p>
    <w:p>
      <w:bookmarkStart w:id="258" w:name="sc_body_258"/>
      <w:pPr/>
      <w:r>
        <w:t>В предполагаемую карточку решения автор рекомендует включить альтернативу отказа или переноса действия. Для неё следует объяснить, какого именно основания не хватает. Такой вариант не должен означать безразличие к задаче; он сохраняет возможность собрать адресный материал. Выбор между действием и ожиданием в настоящей работе не оптимизируется и не получает вымышленной оценки затрат или выгоды.</w:t>
      </w:r>
      <w:bookmarkEnd w:id="258"/>
    </w:p>
    <w:p>
      <w:bookmarkStart w:id="259" w:name="sc_body_259"/>
      <w:pPr/>
      <w:r>
        <w:t>В обзоре городских планов сведения об исполнителях извлекаются как сообщения самих документов. Авторы описывают участие городских советов, аппаратов руководителей, структур устойчивого развития, окружающей среды и здравоохранения, а также различия участия по рассматриваемым направлениям. Эти результаты относятся к тому, какие роли отражены в планах; из них без отдельного материала не получается отчёт об исполнении каждого действия. [5]</w:t>
      </w:r>
      <w:bookmarkEnd w:id="259"/>
    </w:p>
    <w:p>
      <w:bookmarkStart w:id="260" w:name="sc_body_260"/>
      <w:pPr/>
      <w:r>
        <w:t>При чтении сведений об исполнителях автор рекомендует сохранять различие между упоминанием роли и подтверждением её выполнения. В проекте будущей процедуры следует отдельно определить ответственного за постановку вопроса, за действие и за наблюдение результата. Нельзя заполнять эти роли только на основании общей тематической близости организации. Настоящая работа не устанавливает полномочия какой-либо ненаблюдавшейся структуры.</w:t>
      </w:r>
      <w:bookmarkEnd w:id="260"/>
    </w:p>
    <w:p>
      <w:bookmarkStart w:id="261" w:name="sc_body_261"/>
      <w:pPr/>
      <w:r>
        <w:t>Автор рекомендует предусмотреть возможность обнаружить незаполненную роль до начала действия. В таком случае решение должно содержать условие согласования, а не фиктивно завершённую схему ответственности. Назначение роли в проектном документе также не считается доказательством исполнения. Для перехода к такому выводу потребуется самостоятельное наблюдение, которое не входит в проведённый обзор.</w:t>
      </w:r>
      <w:bookmarkEnd w:id="261"/>
    </w:p>
    <w:p>
      <w:bookmarkStart w:id="262" w:name="sc_body_262"/>
      <w:pPr/>
      <w:r>
        <w:t>В заключительном обсуждении исследования Доминики участие, децентрализация, институциональные рамки, ресурсы и межсекторная работа представлены как вопросы укрепления местной адаптивной способности. Авторы формулируют необходимость дальнейшего рассмотрения связей климатических экстремумов, уязвимости и рисков. Это интерпретация качественного исследования и программа последующих вопросов, а не техническое испытание конкретной городской защитной конструкции. [2]</w:t>
      </w:r>
      <w:bookmarkEnd w:id="262"/>
    </w:p>
    <w:p>
      <w:bookmarkStart w:id="263" w:name="sc_body_263"/>
      <w:pPr/>
      <w:r>
        <w:t>Рекомендации об участии и поддержке автор предлагает проверять относительно того, чьё действие предполагается изменить. Общие слова о расширении возможностей недостаточны для карточки решения. Нужно определить предполагаемого пользователя, доступное ему действие и способ проверить достижимость этого действия. В настоящей работе такая проверка не выполнена; обсуждается только её место в будущей процедуре.</w:t>
      </w:r>
      <w:bookmarkEnd w:id="263"/>
    </w:p>
    <w:p>
      <w:bookmarkStart w:id="264" w:name="sc_body_264"/>
      <w:pPr/>
      <w:r>
        <w:t>В проект рекомендуется включить разбор неблагоприятного ответа предполагаемого пользователя. Если предложенное действие неприемлемо, требуется сохранить объяснение и условие пересмотра, а не трактовать несогласие как помеху успешному проекту. Это авторское предложение к организации обсуждения. Его собственная осуществимость должна быть проверена отдельно и не выводится из убедительности общей цели адаптации.</w:t>
      </w:r>
      <w:bookmarkEnd w:id="264"/>
    </w:p>
    <w:p>
      <w:bookmarkStart w:id="265" w:name="sc_body_265"/>
      <w:pPr/>
      <w:r>
        <w:t>В китайском исследовании посредническая связь зелёных облигаций рассматривается посредством поэтапной регрессии и теста Собела. Авторы сообщают положительную посредническую роль и обсуждают её усиление как направление политики. Этот вывод принадлежит анализу механизма в рамках изученной программы и региона; он не является выполненной в данной ВКР проверкой универсального финансового рецепта для любого города. [4]</w:t>
      </w:r>
      <w:bookmarkEnd w:id="265"/>
    </w:p>
    <w:p>
      <w:bookmarkStart w:id="266" w:name="sc_body_266"/>
      <w:pPr/>
      <w:r>
        <w:t>При обсуждении возможного механизма автор рекомендует сохранять уровень доказательства исходного исследования. Гипотезу о промежуточном звене не следует превращать в готовую инструкцию по финансированию в иной предметной области. В проекте процедуры необходимо отдельно спросить, что требуется наблюдать для проверки предполагаемой последовательности. Настоящая работа не предлагает конкретный финансовый инструмент к внедрению и не оценивает его отдачу.</w:t>
      </w:r>
      <w:bookmarkEnd w:id="266"/>
    </w:p>
    <w:p>
      <w:bookmarkStart w:id="267" w:name="sc_body_267"/>
      <w:pPr/>
      <w:r>
        <w:t>Общая рекомендация раздела — оформлять перенос как условное решение с явным правом отказа. Предлагается записывать вопрос, опору, ограничение, необходимое дополнительное наблюдение и условие пересмотра. Указанные поля не обеспечивают успех сами по себе. Их задача в авторском проекте состоит в том, чтобы сделать видимым переход, который иначе мог бы остаться скрытым за краткой практической формулировкой.</w:t>
      </w:r>
      <w:bookmarkEnd w:id="267"/>
    </w:p>
    <w:p>
      <w:bookmarkStart w:id="268" w:name="sc_body_268"/>
      <w:pPr/>
      <w:r>
        <w:t>Для оформления рекомендации автор предлагает использовать условную последовательность: сначала сформулировать желаемый ответ, затем назвать доступное основание и проверить совпадение предмета. При несовпадении следует сузить вопрос либо определить дополнительное наблюдение. Только после этого возможно перейти к проекту действия. Этот порядок не устанавливает обязательной административной процедуры; он предлагается как исследовательский инструмент предварительного разбора и сам нуждается в проверке применения.</w:t>
      </w:r>
      <w:bookmarkEnd w:id="268"/>
    </w:p>
    <w:p>
      <w:bookmarkStart w:id="269" w:name="sc_body_269"/>
      <w:pPr/>
      <w:r>
        <w:t>Условие остановки рекомендуется писать в положительной форме, указывая отсутствующий переход. Вместо общего запрета следует назвать, какое свидетельство позволило бы вернуться к решению. Такая запись не обещает, что материал будет получен или окажется благоприятным. Её назначение в авторском проекте — сохранить возможность содержательного пересмотра. Если дополнительное наблюдение опровергнет исходное предположение, процедура должна допускать отказ от рекомендации, а не требовать нового обоснования того же заранее выбранного действия.</w:t>
      </w:r>
      <w:bookmarkEnd w:id="269"/>
    </w:p>
    <w:p>
      <w:bookmarkStart w:id="270" w:name="sc_body_270"/>
      <w:pPr/>
      <w:r>
        <w:t>При подготовке возможной апробации автор рекомендует не объединять проверку формы с проверкой результата решения. Сначала следовало бы выяснить, удаётся ли заполнить карточку без смешения факта и предложения. Затем можно было бы обсуждать, как устроить отдельное наблюдение за дальнейшим действием. Успешное заполнение формы не считается улучшением адаптации. В настоящей работе не выполнен ни такой тест, ни оценка его возможных последствий.</w:t>
      </w:r>
      <w:bookmarkEnd w:id="270"/>
    </w:p>
    <w:p>
      <w:bookmarkStart w:id="271" w:name="sc_body_271"/>
      <w:pPr/>
      <w:r>
        <w:t>Наконец, рекомендуется сохранять возможность редакционного исправления самой рекомендации после уточнения основания. Исправление должно указывать, какой переход оказался не обеспечен и как изменился вывод. Не следует объявлять прежнюю формулировку верной только потому, что она уже включена в итоговый документ. Авторский проект процедуры ориентирован на проверяемость решения; его собственная готовность к практическому использованию остаётся ограниченной до отдельной апробации.</w:t>
      </w:r>
      <w:bookmarkEnd w:id="271"/>
    </w:p>
    <w:p>
      <w:bookmarkStart w:id="272" w:name="sc_body_272"/>
      <w:pPr/>
      <w:r>
        <w:t>Для направления озеленения автор предлагает условную рекомендацию: переходить к разработке вмешательства только после объяснения, какое пространственное различие послужило основанием выбора места и каким наблюдением предполагается проверить итог. Для направления доступности помощи предлагается иной вход: определить действие пользователя и исследовать его достижимость. Организационное направление требует зафиксировать роль, решение и материал об исполнении. Такой порядок не предполагает, что указанные условия уже выполнены в каком-либо конкретном городе.</w:t>
      </w:r>
      <w:bookmarkEnd w:id="272"/>
    </w:p>
    <w:p>
      <w:bookmarkStart w:id="273" w:name="sc_body_273"/>
      <w:pPr/>
      <w:r>
        <w:t>Если предполагаемая программа объединяет эти направления, автор рекомендует сохранять самостоятельные вопросы проверки. Положительная оценка общего показателя не должна автоматически закрывать вопрос выбранного участка или доступности помощи. И наоборот, содержательное местное улучшение нельзя без дополнительного основания объявлять результатом всей программы. Предлагаемая схема должна помочь сформулировать задачи проверки на соответствующем уровне; результат её практического применения в этой работе не наблюдался.</w:t>
      </w:r>
      <w:bookmarkEnd w:id="273"/>
    </w:p>
    <w:p>
      <w:pPr>
        <w:pStyle w:val="Heading1"/>
        <w:pageBreakBefore/>
      </w:pPr>
      <w:r>
        <w:t>Заключение</w:t>
      </w:r>
    </w:p>
    <w:p>
      <w:bookmarkStart w:id="275" w:name="sc_body_275"/>
      <w:pPr/>
      <w:r>
        <w:t>Результат работы — условная оценка направлений городской климатической адаптации по различимым основаниям выбора. Автор предлагает рассматривать пространственную работу с озеленением, доступность помощи и организацию политики относительно того вопроса, который действительно требуется решить.</w:t>
      </w:r>
      <w:bookmarkEnd w:id="275"/>
    </w:p>
    <w:p>
      <w:bookmarkStart w:id="276" w:name="sc_body_276"/>
      <w:pPr/>
      <w:r>
        <w:t>Из оценки не выводится универсальный приоритет направления. Итог не является новым расчётом эффективности, утверждённым городским планом или проверкой политики на собственных наблюдениях.</w:t>
      </w:r>
      <w:bookmarkEnd w:id="276"/>
    </w:p>
    <w:p>
      <w:bookmarkStart w:id="277" w:name="sc_body_277"/>
      <w:pPr/>
      <w:r>
        <w:t>Авторская оценка строится по условию соответствия действия задаче. Если требуется выбрать место пространственного вмешательства, сначала предлагается проверить основание выделения места.</w:t>
      </w:r>
      <w:bookmarkEnd w:id="277"/>
    </w:p>
    <w:p>
      <w:bookmarkStart w:id="278" w:name="sc_body_278"/>
      <w:pPr/>
      <w:r>
        <w:t>Если вопрос относится к доступу человека к помощи, предлагается начать с анализа предполагаемого действия пользователя. Если обсуждается программа, предлагается отдельно определить правило оценки её результата. Эти условия не дают общего рейтинга направлений: они задают предел применения каждой рекомендации.</w:t>
      </w:r>
      <w:bookmarkEnd w:id="278"/>
    </w:p>
    <w:p>
      <w:bookmarkStart w:id="279" w:name="sc_body_279"/>
      <w:pPr/>
      <w:r>
        <w:t>Рабочий ответ на исследовательский вопрос состоит в требовании соответствия между вопросом и видом свидетельства. Автор предлагает сначала определить, какой ответ вообще может дать рассматриваемая операция.</w:t>
      </w:r>
      <w:bookmarkEnd w:id="279"/>
    </w:p>
    <w:p>
      <w:bookmarkStart w:id="280" w:name="sc_body_280"/>
      <w:pPr/>
      <w:r>
        <w:t>Только после этого следует решать, разрешён ли переход к практической рекомендации. Если ответ касается другого предмета, обзор должен сохранять это расхождение, даже когда итоговая формулировка из-за него становится менее определённой.</w:t>
      </w:r>
      <w:bookmarkEnd w:id="280"/>
    </w:p>
    <w:p>
      <w:bookmarkStart w:id="281" w:name="sc_body_281"/>
      <w:pPr/>
      <w:r>
        <w:t>Для раздела об уязвимости итогом является предложенная граница между рассмотрением социального опыта и инженерной оценкой опасности. Авторский протокол допускает содержательное обсуждение рассказа участника, но не разрешает достраивать по нему отсутствующий технический расчёт.</w:t>
      </w:r>
      <w:bookmarkEnd w:id="281"/>
    </w:p>
    <w:p>
      <w:bookmarkStart w:id="282" w:name="sc_body_282"/>
      <w:pPr/>
      <w:r>
        <w:t>Сохранение этой границы относится к правилам обзора. Оно не означает, что техническая задача решена или может быть исключена из будущего проекта.</w:t>
      </w:r>
      <w:bookmarkEnd w:id="282"/>
    </w:p>
    <w:p>
      <w:bookmarkStart w:id="283" w:name="sc_body_283"/>
      <w:pPr/>
      <w:r>
        <w:t>Для рассмотрения мер предложено отделять осуществимость от результата реализации. В карточке возможного проекта следует хранить условия действия, основание приоритетов и открытые вопросы. Выбор желательного варианта ещё не заполняет поле наблюдённого результата. Эта граница позволяет сформулировать следующую задачу исследования, не выдавая готовность обсудить действие за доказательство его воздействия.</w:t>
      </w:r>
      <w:bookmarkEnd w:id="283"/>
    </w:p>
    <w:p>
      <w:bookmarkStart w:id="284" w:name="sc_body_284"/>
      <w:pPr/>
      <w:r>
        <w:t>В пространственной части предложено прослеживать переходы от наблюдения к классификации и к расчётному представлению. Авторский протокол требует объяснения каждого перехода.</w:t>
      </w:r>
      <w:bookmarkEnd w:id="284"/>
    </w:p>
    <w:p>
      <w:bookmarkStart w:id="285" w:name="sc_body_285"/>
      <w:pPr/>
      <w:r>
        <w:t>Итоговая карта в таком проекте служит предметом дальнейших вопросов, а не самостоятельным разрешением на вмешательство. Чтобы подтвердить результат нового действия, потребовался бы отдельный материал, который в настоящей работе не собирался.</w:t>
      </w:r>
      <w:bookmarkEnd w:id="285"/>
    </w:p>
    <w:p>
      <w:bookmarkStart w:id="286" w:name="sc_body_286"/>
      <w:pPr/>
      <w:r>
        <w:t>В части валидации предложено связывать проверку с определённой возможностью ошибочного вывода. Нужно назвать, что именно проверялось, какое несоответствие можно было обнаружить и что остаётся открытым. Авторская схема не вводит общей отметки окончательной доказанности исследования. Её предметом является достаточность основания для конкретной формулировки, а не репутационное ранжирование авторов или методов.</w:t>
      </w:r>
      <w:bookmarkEnd w:id="286"/>
    </w:p>
    <w:p>
      <w:bookmarkStart w:id="287" w:name="sc_body_287"/>
      <w:pPr/>
      <w:r>
        <w:t>При обсуждении внедрения предложена запись различий между сообщением, намерением, возможностью и исполнением. Пустое поле в проекте карточки должно оставаться открытым вопросом, пока не определён способ его заполнения. Автор не предлагает считать молчание документа доказательством отсутствия действия. Одновременно упоминание действия не должно автоматически завершать проверку его исполнения.</w:t>
      </w:r>
      <w:bookmarkEnd w:id="287"/>
    </w:p>
    <w:p>
      <w:bookmarkStart w:id="288" w:name="sc_body_288"/>
      <w:pPr/>
      <w:r>
        <w:t>Сравнительная матрица предложена как средство удержания несопоставимости. Если два результата отвечают на разные вопросы, их можно рассмотреть вместе без приведения к общей шкале. Отказ от общего рейтинга в таком случае является осмысленным итогом, а не недостатком оформления. Для объединения потребовалось бы самостоятельное обоснование, которое нельзя заменить одинаковым словом в названии результата.</w:t>
      </w:r>
      <w:bookmarkEnd w:id="288"/>
    </w:p>
    <w:p>
      <w:bookmarkStart w:id="289" w:name="sc_body_289"/>
      <w:pPr/>
      <w:r>
        <w:t>Приоритет в дальнейшей работе предлагается отдавать точному формулированию следующего вопроса. Он должен указывать, какого наблюдения не хватает для решения. Общий призыв собрать больше данных не завершает карточку. Авторская процедура требует связать предполагаемый сбор с определённым переходом в рассуждении и заранее объяснить, какой возможный ответ заставит отказаться от рекомендации.</w:t>
      </w:r>
      <w:bookmarkEnd w:id="289"/>
    </w:p>
    <w:p>
      <w:bookmarkStart w:id="290" w:name="sc_body_290"/>
      <w:pPr/>
      <w:r>
        <w:t>В практической рекомендации автор предлагает сохранять только ту степень определённости, которая доступна основанию. Если материал разрешает поставить вопрос, следует сформулировать вопрос. Если он позволяет описать условие, следует сохранить условный характер решения. Авторская процедура не допускает усиления вывода ради более уверенного заключительного абзаца или удобства предполагаемого пользователя.</w:t>
      </w:r>
      <w:bookmarkEnd w:id="290"/>
    </w:p>
    <w:p>
      <w:bookmarkStart w:id="291" w:name="sc_body_291"/>
      <w:pPr/>
      <w:r>
        <w:t>Проект карточки не должен подменять предметную компетенцию будущего исполнителя. В авторской схеме он помогает сделать переходы видимыми, но не отвечает вместо технического, социального или управленческого исследования на специальный вопрос. При выходе за предел доступного материала следует обозначить необходимость отдельной работы. Её содержание не должно дописываться по аналогии с более знакомым методом.</w:t>
      </w:r>
      <w:bookmarkEnd w:id="291"/>
    </w:p>
    <w:p>
      <w:bookmarkStart w:id="292" w:name="sc_body_292"/>
      <w:pPr/>
      <w:r>
        <w:t>Возможное управленческое применение предлагается ограничить предварительным разбором основания рекомендации. Окончательное решение потребовало бы самостоятельного описания полномочий, ресурсов, предполагаемого пользователя и способа наблюдения результата. Настоящая работа этих сведений не предоставляет. Поэтому предложенный порядок не выдаётся за готовый регламент для ненаблюдавшейся организации.</w:t>
      </w:r>
      <w:bookmarkEnd w:id="292"/>
    </w:p>
    <w:p>
      <w:bookmarkStart w:id="293" w:name="sc_body_293"/>
      <w:pPr/>
      <w:r>
        <w:t>Не предлагается и универсальный перечень мер, пригодный независимо от предметной области. Для каждого действия в будущем проекте нужно будет определить собственное основание. В авторской процедуре совпадение названия с опубликованным решением не считается достаточным аргументом. Сначала потребуется установить, какой вопрос совпадает и какие условия должны быть определены заново.</w:t>
      </w:r>
      <w:bookmarkEnd w:id="293"/>
    </w:p>
    <w:p>
      <w:bookmarkStart w:id="294" w:name="sc_body_294"/>
      <w:pPr/>
      <w:r>
        <w:t>Предел выполненной работы состоит в том, что она анализирует опубликованный способ доказательства и конструирует процедуру его чтения. Здесь не наблюдался процесс принятия решений будущими пользователями.</w:t>
      </w:r>
      <w:bookmarkEnd w:id="294"/>
    </w:p>
    <w:p>
      <w:bookmarkStart w:id="295" w:name="sc_body_295"/>
      <w:pPr/>
      <w:r>
        <w:t>Поэтому нельзя заявлять сокращение ошибок, ускорение согласования или улучшение распределения ресурсов как полученный результат. Возможность проверить такие свойства обозначена только как направление отдельного проекта.</w:t>
      </w:r>
      <w:bookmarkEnd w:id="295"/>
    </w:p>
    <w:p>
      <w:bookmarkStart w:id="296" w:name="sc_body_296"/>
      <w:pPr/>
      <w:r>
        <w:t>Для дальнейшего исследования автор предлагает заранее выбрать критерий успешности самой процедуры. Он должен соответствовать тому свойству, которое действительно собираются проверять.</w:t>
      </w:r>
      <w:bookmarkEnd w:id="296"/>
    </w:p>
    <w:p>
      <w:bookmarkStart w:id="297" w:name="sc_body_297"/>
      <w:pPr/>
      <w:r>
        <w:t>Например, вопрос о понятности формы потребует иного материала, чем вопрос о воспроизводимости решения. В настоящей работе не назначены пороговые значения и не получены наблюдения, позволяющие объявить любой из этих вопросов закрытым.</w:t>
      </w:r>
      <w:bookmarkEnd w:id="297"/>
    </w:p>
    <w:p>
      <w:bookmarkStart w:id="298" w:name="sc_body_298"/>
      <w:pPr/>
      <w:r>
        <w:t>Предлагаемая запись об ограничениях должна располагаться рядом с соответствующей рекомендацией. Если оговорка вынесена далеко, читателю трудно определить, какой именно переход она сужает. Это авторское требование к будущему представлению результата. В работе не измерялось, как расположение записи влияет на понимание; такая связь не объявляется доказанной.</w:t>
      </w:r>
      <w:bookmarkEnd w:id="298"/>
    </w:p>
    <w:p>
      <w:bookmarkStart w:id="299" w:name="sc_body_299"/>
      <w:pPr/>
      <w:r>
        <w:t>Для возможного коллективного применения предлагается разделить ответственность за извлечение сообщения и за практическую интерпретацию. Первое требует соответствия источнику, второе — явного объяснения перехода к решению. Совмещение ролей не запрещается автоматически, но должно быть описано. Настоящая работа не проверяла конкретную организационную схему и не определяет, кто обязан выполнять каждую роль.</w:t>
      </w:r>
      <w:bookmarkEnd w:id="299"/>
    </w:p>
    <w:p>
      <w:bookmarkStart w:id="300" w:name="sc_body_300"/>
      <w:pPr/>
      <w:r>
        <w:t>Таким образом, авторский результат состоит в правилах адресного перехода от публикации к условной рекомендации. Предлагается сохранять вопрос, объект, операцию, проверку, предел и следующий шаг.</w:t>
      </w:r>
      <w:bookmarkEnd w:id="300"/>
    </w:p>
    <w:p>
      <w:bookmarkStart w:id="301" w:name="sc_body_301"/>
      <w:pPr/>
      <w:r>
        <w:t>Положительная оценка исходного исследования не устраняет необходимости такого перехода, а критическое замечание не означает автоматического отказа от его использования. Решение должно быть объяснено относительно конкретной задачи.</w:t>
      </w:r>
      <w:bookmarkEnd w:id="301"/>
    </w:p>
    <w:p>
      <w:bookmarkStart w:id="302" w:name="sc_body_302"/>
      <w:pPr/>
      <w:r>
        <w:t>Окончательное практическое предложение работы — начинать подготовку адаптационного решения с проверки основания, допуская содержательно обоснованную остановку. Если необходимый переход не обеспечен материалом, следует назвать недостающую проверку и сохранить условность.</w:t>
      </w:r>
      <w:bookmarkEnd w:id="302"/>
    </w:p>
    <w:p>
      <w:bookmarkStart w:id="303" w:name="sc_body_303"/>
      <w:pPr/>
      <w:r>
        <w:t>Эта рекомендация относится к авторскому проекту исследовательской процедуры. Её собственное применение и результаты остаются предметом будущей апробации.</w:t>
      </w:r>
      <w:bookmarkEnd w:id="303"/>
    </w:p>
    <w:p>
      <w:bookmarkStart w:id="304" w:name="sc_body_304"/>
      <w:pPr/>
      <w:r>
        <w:t>Завершение обзора не закрывает вопросы о фактическом воздействии конкретных мер. Оно задаёт способ сформулировать их точнее и отделить от уже доступного знания.</w:t>
      </w:r>
      <w:bookmarkEnd w:id="304"/>
    </w:p>
    <w:p>
      <w:bookmarkStart w:id="305" w:name="sc_body_305"/>
      <w:pPr/>
      <w:r>
        <w:t>Автор предлагает оценивать дальнейшую работу по тому, удаётся ли сохранить такую точность при новом материале. До проведения соответствующей проверки итог настоящей работы следует использовать как обоснованный проект процедуры чтения, сохраняя обозначенные пределы.</w:t>
      </w:r>
      <w:bookmarkEnd w:id="305"/>
    </w:p>
    <w:p>
      <w:pPr>
        <w:pStyle w:val="Heading1"/>
        <w:pageBreakBefore/>
      </w:pPr>
      <w:r>
        <w:t>Список использованных источников</w:t>
      </w:r>
    </w:p>
    <w:p>
      <w:pPr>
        <w:keepNext w:val="0"/>
        <w:keepLines/>
        <w:spacing w:before="0" w:after="120" w:line="276" w:lineRule="auto"/>
        <w:ind w:left="425" w:hanging="425"/>
        <w:jc w:val="left"/>
      </w:pPr>
      <w:r>
        <w:rPr>
          <w:rFonts w:ascii="Times New Roman" w:hAnsi="Times New Roman"/>
          <w:b w:val="0"/>
          <w:sz w:val="28"/>
        </w:rPr>
        <w:t>1. Guillén Bolaños T., Scheffran J., García A., et al. Assessing the feasibility of climate adaptation options using local expertise and participatory approaches: The case of Puerto Morazán, Nicaragua. PLOS Climate. 2025; 4(10). https://doi.org/10.1371/journal.pclm.0000510</w:t>
      </w:r>
    </w:p>
    <w:p>
      <w:pPr>
        <w:keepNext w:val="0"/>
        <w:keepLines/>
        <w:spacing w:before="0" w:after="120" w:line="276" w:lineRule="auto"/>
        <w:ind w:left="425" w:hanging="425"/>
        <w:jc w:val="left"/>
      </w:pPr>
      <w:r>
        <w:rPr>
          <w:rFonts w:ascii="Times New Roman" w:hAnsi="Times New Roman"/>
          <w:b w:val="0"/>
          <w:sz w:val="28"/>
        </w:rPr>
        <w:t>2. Cooper S., Cloos P., Abraham C., et al. What can be said about risks, vulnerabilities, and adaptation to climate change in Caribbean small island developing states (SIDS)? The case of Dominica. A qualitative study. PLOS Climate. 2025; 4(4). https://doi.org/10.1371/journal.pclm.0000275</w:t>
      </w:r>
    </w:p>
    <w:p>
      <w:pPr>
        <w:keepNext w:val="0"/>
        <w:keepLines/>
        <w:spacing w:before="0" w:after="120" w:line="276" w:lineRule="auto"/>
        <w:ind w:left="425" w:hanging="425"/>
        <w:jc w:val="left"/>
      </w:pPr>
      <w:r>
        <w:rPr>
          <w:rFonts w:ascii="Times New Roman" w:hAnsi="Times New Roman"/>
          <w:b w:val="0"/>
          <w:sz w:val="28"/>
        </w:rPr>
        <w:t>3. Omidighalehmohammadi Z., Morovati M., Karami P., et al. Spatiotemporal modeling of urban green space connectivity and landscape structure for climate adaptation in Tehran, Iran. PLOS One. 2026; 21(4). https://doi.org/10.1371/journal.pone.0341276</w:t>
      </w:r>
    </w:p>
    <w:p>
      <w:pPr>
        <w:keepNext w:val="0"/>
        <w:keepLines/>
        <w:spacing w:before="0" w:after="120" w:line="276" w:lineRule="auto"/>
        <w:ind w:left="425" w:hanging="425"/>
        <w:jc w:val="left"/>
      </w:pPr>
      <w:r>
        <w:rPr>
          <w:rFonts w:ascii="Times New Roman" w:hAnsi="Times New Roman"/>
          <w:b w:val="0"/>
          <w:sz w:val="28"/>
        </w:rPr>
        <w:t>4. Yin A., Liu Z. How can climate adaptation policy enhance urban climate resilience? Empirical evidence from China. PLOS One. 2025; 20(11). https://doi.org/10.1371/journal.pone.0335736</w:t>
      </w:r>
    </w:p>
    <w:p>
      <w:pPr>
        <w:keepNext w:val="0"/>
        <w:keepLines/>
        <w:spacing w:before="0" w:after="120" w:line="276" w:lineRule="auto"/>
        <w:ind w:left="425" w:hanging="425"/>
        <w:jc w:val="left"/>
      </w:pPr>
      <w:r>
        <w:rPr>
          <w:rFonts w:ascii="Times New Roman" w:hAnsi="Times New Roman"/>
          <w:b w:val="0"/>
          <w:sz w:val="28"/>
        </w:rPr>
        <w:t>5. Sheehan M. C., Khudairi F., Swaich G. S., et al. Urban climate-health governance: Charting the role of public health in large global city adaptation plans. PLOS Climate. 2022; 1(3). https://doi.org/10.1371/journal.pclm.0000012</w:t>
      </w:r>
    </w:p>
    <w:sectPr w:rsidR="00FC693F" w:rsidRPr="0006063C" w:rsidSect="00034616">
      <w:foot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709"/>
      <w:jc w:val="both"/>
    </w:pPr>
    <w:rPr>
      <w:sz w:val="28"/>
      <w:rFonts w:ascii="Times New Roman" w:hAnsi="Times New Roman" w:cs="Times New Roman" w:eastAsia="Times New Roman"/>
      <w:color w:val="000000"/>
      <w:szCs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40" w:line="360" w:lineRule="auto"/>
      <w:ind w:firstLine="0"/>
      <w:jc w:val="center"/>
      <w:outlineLvl w:val="0"/>
    </w:pPr>
    <w:rPr>
      <w:b/>
      <w:bCs/>
      <w:color w:val="000000"/>
      <w:sz w:val="32"/>
      <w:szCs w:val="32"/>
      <w:rFonts w:ascii="Times New Roman" w:hAnsi="Times New Roman" w:cs="Times New Roman" w:eastAsia="Times New Roman"/>
    </w:rPr>
  </w:style>
  <w:style w:type="paragraph" w:styleId="Heading2">
    <w:name w:val="heading 2"/>
    <w:basedOn w:val="Normal"/>
    <w:next w:val="Normal"/>
    <w:link w:val="Heading2Char"/>
    <w:uiPriority w:val="9"/>
    <w:unhideWhenUsed/>
    <w:qFormat/>
    <w:rsid w:val="00FC693F"/>
    <w:pPr>
      <w:keepNext/>
      <w:keepLines/>
      <w:spacing w:before="160" w:after="160" w:line="360" w:lineRule="auto"/>
      <w:ind w:firstLine="0"/>
      <w:jc w:val="left"/>
      <w:outlineLvl w:val="1"/>
    </w:pPr>
    <w:rPr>
      <w:b/>
      <w:bCs/>
      <w:color w:val="000000"/>
      <w:sz w:val="28"/>
      <w:szCs w:val="28"/>
      <w:rFonts w:ascii="Times New Roman" w:hAnsi="Times New Roman" w:cs="Times New Roman" w:eastAsia="Times New Roma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