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0" w:after="0"/>
        <w:ind w:firstLine="0"/>
        <w:jc w:val="center"/>
      </w:pPr>
      <w:r>
        <w:rPr>
          <w:b w:val="0"/>
          <w:sz w:val="28"/>
          <w:rFonts w:ascii="Times New Roman" w:hAnsi="Times New Roman" w:cs="Times New Roman" w:eastAsia="Times New Roman"/>
        </w:rPr>
        <w:t>Наименование вуза ____________________</w:t>
      </w:r>
    </w:p>
    <w:p>
      <w:pPr>
        <w:spacing w:line="240" w:lineRule="auto" w:before="120" w:after="0"/>
        <w:ind w:firstLine="0"/>
        <w:jc w:val="center"/>
      </w:pPr>
      <w:r>
        <w:rPr>
          <w:b w:val="0"/>
          <w:sz w:val="28"/>
          <w:rFonts w:ascii="Times New Roman" w:hAnsi="Times New Roman" w:cs="Times New Roman" w:eastAsia="Times New Roman"/>
        </w:rPr>
        <w:t>Кафедра ____________________</w:t>
      </w:r>
    </w:p>
    <w:p>
      <w:pPr>
        <w:spacing w:line="240" w:lineRule="auto" w:before="2400" w:after="0"/>
        <w:ind w:firstLine="0"/>
        <w:jc w:val="center"/>
      </w:pPr>
      <w:r>
        <w:rPr>
          <w:b/>
          <w:sz w:val="32"/>
          <w:rFonts w:ascii="Times New Roman" w:hAnsi="Times New Roman" w:cs="Times New Roman" w:eastAsia="Times New Roman"/>
        </w:rPr>
        <w:t>Реферат</w:t>
      </w:r>
    </w:p>
    <w:p>
      <w:pPr>
        <w:spacing w:line="240" w:lineRule="auto" w:before="240" w:after="0"/>
        <w:ind w:firstLine="0"/>
        <w:jc w:val="center"/>
      </w:pPr>
      <w:r>
        <w:rPr>
          <w:b/>
          <w:sz w:val="32"/>
          <w:rFonts w:ascii="Times New Roman" w:hAnsi="Times New Roman" w:cs="Times New Roman" w:eastAsia="Times New Roman"/>
        </w:rPr>
        <w:t>на тему: «Адаптация городов к климатическим рискам: обзор научных подходов»</w:t>
      </w:r>
    </w:p>
    <w:p>
      <w:pPr>
        <w:spacing w:line="240" w:lineRule="auto" w:before="2400" w:after="0"/>
        <w:ind w:firstLine="0"/>
        <w:jc w:val="right"/>
      </w:pPr>
      <w:r>
        <w:rPr>
          <w:b w:val="0"/>
          <w:sz w:val="28"/>
          <w:rFonts w:ascii="Times New Roman" w:hAnsi="Times New Roman" w:cs="Times New Roman" w:eastAsia="Times New Roman"/>
        </w:rPr>
        <w:t>ФИО студента ____________________</w:t>
      </w:r>
    </w:p>
    <w:p>
      <w:pPr>
        <w:spacing w:line="240" w:lineRule="auto" w:before="120" w:after="0"/>
        <w:ind w:firstLine="0"/>
        <w:jc w:val="right"/>
      </w:pPr>
      <w:r>
        <w:rPr>
          <w:b w:val="0"/>
          <w:sz w:val="28"/>
          <w:rFonts w:ascii="Times New Roman" w:hAnsi="Times New Roman" w:cs="Times New Roman" w:eastAsia="Times New Roman"/>
        </w:rPr>
        <w:t>Группа ____________________</w:t>
      </w:r>
    </w:p>
    <w:p>
      <w:pPr>
        <w:spacing w:line="240" w:lineRule="auto" w:before="120" w:after="0"/>
        <w:ind w:firstLine="0"/>
        <w:jc w:val="right"/>
      </w:pPr>
      <w:r>
        <w:rPr>
          <w:b w:val="0"/>
          <w:sz w:val="28"/>
          <w:rFonts w:ascii="Times New Roman" w:hAnsi="Times New Roman" w:cs="Times New Roman" w:eastAsia="Times New Roman"/>
        </w:rPr>
        <w:t>Руководитель ____________________</w:t>
      </w:r>
    </w:p>
    <w:p>
      <w:pPr>
        <w:spacing w:line="240" w:lineRule="auto" w:before="2400" w:after="0"/>
        <w:ind w:firstLine="0"/>
        <w:jc w:val="center"/>
      </w:pPr>
      <w:r>
        <w:rPr>
          <w:b w:val="0"/>
          <w:sz w:val="28"/>
          <w:rFonts w:ascii="Times New Roman" w:hAnsi="Times New Roman" w:cs="Times New Roman" w:eastAsia="Times New Roman"/>
        </w:rPr>
        <w:t>2026</w:t>
      </w:r>
    </w:p>
    <w:p>
      <w:r>
        <w:br w:type="page"/>
      </w:r>
    </w:p>
    <w:p>
      <w:pPr>
        <w:spacing w:line="360" w:lineRule="auto" w:after="240"/>
        <w:ind w:firstLine="0"/>
        <w:jc w:val="center"/>
      </w:pPr>
      <w:r>
        <w:rPr>
          <w:b/>
          <w:sz w:val="28"/>
          <w:rFonts w:ascii="Times New Roman" w:hAnsi="Times New Roman" w:cs="Times New Roman" w:eastAsia="Times New Roman"/>
        </w:rPr>
        <w:t>Содержание</w:t>
      </w:r>
    </w:p>
    <w:p>
      <w:pPr>
        <w:spacing w:line="240" w:lineRule="auto"/>
        <w:ind w:firstLine="0"/>
      </w:pPr>
      <w:r>
        <w:rPr>
          <w:rFonts w:ascii="Times New Roman" w:hAnsi="Times New Roman"/>
          <w:sz w:val="28"/>
        </w:rPr>
        <w:fldChar w:fldCharType="begin"/>
        <w:instrText xml:space="preserve">TOC \o "1-3" \h \z \u</w:instrText>
        <w:fldChar w:fldCharType="separate"/>
      </w:r>
    </w:p>
    <w:p>
      <w:pPr>
        <w:spacing w:line="360" w:lineRule="auto" w:before="0" w:after="0"/>
        <w:ind w:firstLine="0" w:left="0"/>
        <w:tabs>
          <w:tab w:val="right" w:leader="dot" w:pos="9356"/>
        </w:tabs>
      </w:pPr>
      <w:r>
        <w:rPr>
          <w:b w:val="0"/>
          <w:sz w:val="28"/>
          <w:rFonts w:ascii="Times New Roman" w:hAnsi="Times New Roman" w:cs="Times New Roman" w:eastAsia="Times New Roman"/>
        </w:rPr>
        <w:t>Введение</w:t>
      </w:r>
      <w:r>
        <w:tab/>
      </w:r>
      <w:r>
        <w:rPr>
          <w:sz w:val="28"/>
          <w:rFonts w:ascii="Times New Roman" w:hAnsi="Times New Roman" w:cs="Times New Roman" w:eastAsia="Times New Roman"/>
        </w:rPr>
        <w:t>3</w:t>
      </w:r>
    </w:p>
    <w:p>
      <w:pPr>
        <w:spacing w:line="360" w:lineRule="auto" w:before="0" w:after="0"/>
        <w:ind w:firstLine="0" w:left="0"/>
        <w:tabs>
          <w:tab w:val="right" w:leader="dot" w:pos="9356"/>
        </w:tabs>
      </w:pPr>
      <w:r>
        <w:rPr>
          <w:b w:val="0"/>
          <w:sz w:val="28"/>
          <w:rFonts w:ascii="Times New Roman" w:hAnsi="Times New Roman" w:cs="Times New Roman" w:eastAsia="Times New Roman"/>
        </w:rPr>
        <w:t>1. Риски и направления адаптации</w:t>
      </w:r>
      <w:r>
        <w:tab/>
      </w:r>
      <w:r>
        <w:rPr>
          <w:sz w:val="28"/>
          <w:rFonts w:ascii="Times New Roman" w:hAnsi="Times New Roman" w:cs="Times New Roman" w:eastAsia="Times New Roman"/>
        </w:rPr>
        <w:t>5</w:t>
      </w:r>
    </w:p>
    <w:p>
      <w:pPr>
        <w:spacing w:line="360" w:lineRule="auto" w:before="0" w:after="0"/>
        <w:ind w:firstLine="0" w:left="709"/>
        <w:tabs>
          <w:tab w:val="right" w:leader="dot" w:pos="9356"/>
        </w:tabs>
      </w:pPr>
      <w:r>
        <w:rPr>
          <w:b w:val="0"/>
          <w:sz w:val="28"/>
          <w:rFonts w:ascii="Times New Roman" w:hAnsi="Times New Roman" w:cs="Times New Roman" w:eastAsia="Times New Roman"/>
        </w:rPr>
        <w:t>1.1. Городская уязвимость и ветровые риски</w:t>
      </w:r>
      <w:r>
        <w:tab/>
      </w:r>
      <w:r>
        <w:rPr>
          <w:sz w:val="28"/>
          <w:rFonts w:ascii="Times New Roman" w:hAnsi="Times New Roman" w:cs="Times New Roman" w:eastAsia="Times New Roman"/>
        </w:rPr>
        <w:t>5</w:t>
      </w:r>
    </w:p>
    <w:p>
      <w:pPr>
        <w:spacing w:line="360" w:lineRule="auto" w:before="0" w:after="0"/>
        <w:ind w:firstLine="0" w:left="709"/>
        <w:tabs>
          <w:tab w:val="right" w:leader="dot" w:pos="9356"/>
        </w:tabs>
      </w:pPr>
      <w:r>
        <w:rPr>
          <w:b w:val="0"/>
          <w:sz w:val="28"/>
          <w:rFonts w:ascii="Times New Roman" w:hAnsi="Times New Roman" w:cs="Times New Roman" w:eastAsia="Times New Roman"/>
        </w:rPr>
        <w:t>1.2. Меры адаптации и границы переноса результатов</w:t>
      </w:r>
      <w:r>
        <w:tab/>
      </w:r>
      <w:r>
        <w:rPr>
          <w:sz w:val="28"/>
          <w:rFonts w:ascii="Times New Roman" w:hAnsi="Times New Roman" w:cs="Times New Roman" w:eastAsia="Times New Roman"/>
        </w:rPr>
        <w:t>7</w:t>
      </w:r>
    </w:p>
    <w:p>
      <w:pPr>
        <w:spacing w:line="360" w:lineRule="auto" w:before="0" w:after="0"/>
        <w:ind w:firstLine="0" w:left="0"/>
        <w:tabs>
          <w:tab w:val="right" w:leader="dot" w:pos="9356"/>
        </w:tabs>
      </w:pPr>
      <w:r>
        <w:rPr>
          <w:b w:val="0"/>
          <w:sz w:val="28"/>
          <w:rFonts w:ascii="Times New Roman" w:hAnsi="Times New Roman" w:cs="Times New Roman" w:eastAsia="Times New Roman"/>
        </w:rPr>
        <w:t>2. Оценка и внедрение адаптационных мер</w:t>
      </w:r>
      <w:r>
        <w:tab/>
      </w:r>
      <w:r>
        <w:rPr>
          <w:sz w:val="28"/>
          <w:rFonts w:ascii="Times New Roman" w:hAnsi="Times New Roman" w:cs="Times New Roman" w:eastAsia="Times New Roman"/>
        </w:rPr>
        <w:t>10</w:t>
      </w:r>
    </w:p>
    <w:p>
      <w:pPr>
        <w:spacing w:line="360" w:lineRule="auto" w:before="0" w:after="0"/>
        <w:ind w:firstLine="0" w:left="709"/>
        <w:tabs>
          <w:tab w:val="right" w:leader="dot" w:pos="9356"/>
        </w:tabs>
      </w:pPr>
      <w:r>
        <w:rPr>
          <w:b w:val="0"/>
          <w:sz w:val="28"/>
          <w:rFonts w:ascii="Times New Roman" w:hAnsi="Times New Roman" w:cs="Times New Roman" w:eastAsia="Times New Roman"/>
        </w:rPr>
        <w:t>2.1. ГИС и зелёная инфраструктура</w:t>
      </w:r>
      <w:r>
        <w:tab/>
      </w:r>
      <w:r>
        <w:rPr>
          <w:sz w:val="28"/>
          <w:rFonts w:ascii="Times New Roman" w:hAnsi="Times New Roman" w:cs="Times New Roman" w:eastAsia="Times New Roman"/>
        </w:rPr>
        <w:t>10</w:t>
      </w:r>
    </w:p>
    <w:p>
      <w:pPr>
        <w:spacing w:line="360" w:lineRule="auto" w:before="0" w:after="0"/>
        <w:ind w:firstLine="0" w:left="709"/>
        <w:tabs>
          <w:tab w:val="right" w:leader="dot" w:pos="9356"/>
        </w:tabs>
      </w:pPr>
      <w:r>
        <w:rPr>
          <w:b w:val="0"/>
          <w:sz w:val="28"/>
          <w:rFonts w:ascii="Times New Roman" w:hAnsi="Times New Roman" w:cs="Times New Roman" w:eastAsia="Times New Roman"/>
        </w:rPr>
        <w:t>2.2. Валидация результатов оценки</w:t>
      </w:r>
      <w:r>
        <w:tab/>
      </w:r>
      <w:r>
        <w:rPr>
          <w:sz w:val="28"/>
          <w:rFonts w:ascii="Times New Roman" w:hAnsi="Times New Roman" w:cs="Times New Roman" w:eastAsia="Times New Roman"/>
        </w:rPr>
        <w:t>12</w:t>
      </w:r>
    </w:p>
    <w:p>
      <w:pPr>
        <w:spacing w:line="360" w:lineRule="auto" w:before="0" w:after="0"/>
        <w:ind w:firstLine="0" w:left="709"/>
        <w:tabs>
          <w:tab w:val="right" w:leader="dot" w:pos="9356"/>
        </w:tabs>
      </w:pPr>
      <w:r>
        <w:rPr>
          <w:b w:val="0"/>
          <w:sz w:val="28"/>
          <w:rFonts w:ascii="Times New Roman" w:hAnsi="Times New Roman" w:cs="Times New Roman" w:eastAsia="Times New Roman"/>
        </w:rPr>
        <w:t>2.3. Барьеры и условия внедрения</w:t>
      </w:r>
      <w:r>
        <w:tab/>
      </w:r>
      <w:r>
        <w:rPr>
          <w:sz w:val="28"/>
          <w:rFonts w:ascii="Times New Roman" w:hAnsi="Times New Roman" w:cs="Times New Roman" w:eastAsia="Times New Roman"/>
        </w:rPr>
        <w:t>13</w:t>
      </w:r>
    </w:p>
    <w:p>
      <w:pPr>
        <w:spacing w:line="360" w:lineRule="auto" w:before="0" w:after="0"/>
        <w:ind w:firstLine="0" w:left="0"/>
        <w:tabs>
          <w:tab w:val="right" w:leader="dot" w:pos="9356"/>
        </w:tabs>
      </w:pPr>
      <w:r>
        <w:rPr>
          <w:b w:val="0"/>
          <w:sz w:val="28"/>
          <w:rFonts w:ascii="Times New Roman" w:hAnsi="Times New Roman" w:cs="Times New Roman" w:eastAsia="Times New Roman"/>
        </w:rPr>
        <w:t>Заключение</w:t>
      </w:r>
      <w:r>
        <w:tab/>
      </w:r>
      <w:r>
        <w:rPr>
          <w:sz w:val="28"/>
          <w:rFonts w:ascii="Times New Roman" w:hAnsi="Times New Roman" w:cs="Times New Roman" w:eastAsia="Times New Roman"/>
        </w:rPr>
        <w:t>17</w:t>
      </w:r>
    </w:p>
    <w:p>
      <w:pPr>
        <w:spacing w:line="360" w:lineRule="auto" w:before="0" w:after="0"/>
        <w:ind w:firstLine="0" w:left="0"/>
        <w:tabs>
          <w:tab w:val="right" w:leader="dot" w:pos="9356"/>
        </w:tabs>
      </w:pPr>
      <w:r>
        <w:rPr>
          <w:b w:val="0"/>
          <w:sz w:val="28"/>
          <w:rFonts w:ascii="Times New Roman" w:hAnsi="Times New Roman" w:cs="Times New Roman" w:eastAsia="Times New Roman"/>
        </w:rPr>
        <w:t>Список использованных источников</w:t>
      </w:r>
      <w:r>
        <w:tab/>
      </w:r>
      <w:r>
        <w:rPr>
          <w:sz w:val="28"/>
          <w:rFonts w:ascii="Times New Roman" w:hAnsi="Times New Roman" w:cs="Times New Roman" w:eastAsia="Times New Roman"/>
        </w:rPr>
        <w:t>19</w:t>
      </w:r>
      <w:r>
        <w:fldChar w:fldCharType="end"/>
      </w:r>
    </w:p>
    <w:p>
      <w:pPr>
        <w:pStyle w:val="Heading1"/>
        <w:pageBreakBefore/>
      </w:pPr>
      <w:r>
        <w:t>Введение</w:t>
      </w:r>
    </w:p>
    <w:p>
      <w:bookmarkStart w:id="22" w:name="sc_body_22"/>
      <w:pPr/>
      <w:r>
        <w:t>Исследовательский вопрос обзора — как сопоставлять научные подходы к городской адаптации, если они различаются предметом анализа и способом проверки результата. В работе предлагается рассматривать отдельно описание опасности, выбор меры и доказательство ее результативности, а при переходе между ними явно обозначать основания вывода.</w:t>
      </w:r>
      <w:bookmarkEnd w:id="22"/>
    </w:p>
    <w:p>
      <w:bookmarkStart w:id="23" w:name="sc_body_23"/>
      <w:pPr/>
      <w:r>
        <w:t>Адаптация городов к климатическим рискам рассматривается в исследованиях как задача, связывающая климатические прогнозы, выбор защитных мер и управление городской средой. В работе об Индии сложность такого выбора объясняется пересечением климатических переменных, альтернатив адаптации и полномочий разных уровней власти [1]. Авторы исследования китайской политики, в свою очередь, отмечают разрыв между существующим и необходимым уровнем адаптации, выделяя недостаток финансирования, знаний и практического опыта [2]. Поэтому обзор должен сопоставлять как сами меры, так и способы обоснования их результативности.</w:t>
      </w:r>
      <w:bookmarkEnd w:id="23"/>
    </w:p>
    <w:p>
      <w:bookmarkStart w:id="24" w:name="sc_body_24"/>
      <w:pPr/>
      <w:r>
        <w:t>Эмпирическое направление анализа — оценка адаптационной политики через показатели городской климатической устойчивости. Китайское исследование использует данные 57 городов бассейна Желтой реки за 2010–2022 годы. Состав выборки авторы уточняют так: «57 cities, including nine pilot cities and 48 non-pilot cities» [2]. Авторы применяют Synthetic DID и находят положительный эффект программы Climate Adaptive City Construction Pilot Program (CACCP) [2]. Следовательно, объем аналитической выборки не совпадает с числом участников пилотной программы; вывод относится к изученному региональному и институциональному контексту.</w:t>
      </w:r>
      <w:bookmarkEnd w:id="24"/>
    </w:p>
    <w:p>
      <w:bookmarkStart w:id="25" w:name="sc_body_25"/>
      <w:pPr/>
      <w:r>
        <w:t>Другое направление связано с пространственной оценкой городской среды. Исследование Тегерана объединяет анализ температуры поверхности, пространственную статистику и моделирование связанности зеленых участков. Его задача состоит в изучении зеленой инфраструктуры и городских тепловых островов, а не всех климатических опасностей одновременно [3]. Для настоящего обзора это пример того, как геоинформационный анализ помогает связать расположение озеленения с конкретным видом климатической проблемы и сформулировать адресные предложения для планирования.</w:t>
      </w:r>
      <w:bookmarkEnd w:id="25"/>
    </w:p>
    <w:p>
      <w:bookmarkStart w:id="26" w:name="sc_body_26"/>
      <w:pPr/>
      <w:r>
        <w:t>Отдельного рассмотрения заслуживают социальные условия адаптации. В исследовании CACCP образование и общественное внимание к экологическим проблемам положительно модерируют эффект политики, а зависимость от минеральных ресурсов оказывает отрицательное модерирующее влияние [2]. Качественная работа о Доминике исследует другую сторону вопроса: опыт людей, перемещенных после экстремальных событий, их ресурсы, социальные связи и отношения с институтами [4]. Эти результаты относятся к различным исследовательским задачам; сопоставлять их следует с учетом различий в данных и методах.</w:t>
      </w:r>
      <w:bookmarkEnd w:id="26"/>
    </w:p>
    <w:p>
      <w:bookmarkStart w:id="27" w:name="sc_body_27"/>
      <w:pPr/>
      <w:r>
        <w:t>Цель реферата — сопоставить научные подходы к оценке городских климатических рисков, выбору адаптационных мер и анализу барьеров внедрения. Сначала рассматриваются уязвимость и ветровые риски, затем меры и границы переноса результатов. Во второй части обсуждаются ГИС, зеленая инфраструктура, валидация оценок и условия реализации. При сравнении предлагается отдельно фиксировать объект исследования, вид опасности, способ получения результата и пределы его применения. Такая последовательность позволит различать эмпирическое свидетельство, рекомендацию исследователей и собственный вывод обзора.</w:t>
      </w:r>
      <w:bookmarkEnd w:id="27"/>
    </w:p>
    <w:p>
      <w:pPr>
        <w:pStyle w:val="Heading1"/>
        <w:pageBreakBefore/>
      </w:pPr>
      <w:r>
        <w:t>1. Риски и направления адаптации</w:t>
      </w:r>
    </w:p>
    <w:p>
      <w:pPr>
        <w:pStyle w:val="Heading2"/>
      </w:pPr>
      <w:r>
        <w:t>1.1. Городская уязвимость и ветровые риски</w:t>
      </w:r>
    </w:p>
    <w:p>
      <w:bookmarkStart w:id="30" w:name="sc_body_30"/>
      <w:pPr/>
      <w:r>
        <w:t>Ветровые риски целесообразно рассматривать через конкретные события и условия уязвимости. Качественное исследование Доминики обращается к опыту людей, которые были перемещены, переселились или мигрировали после шторма и урагана. В поле анализа входят повреждение имущества, утрата ресурсов, здоровье и мобильность населения [4]. Такой материал показывает, какие стороны последствий описывают участники исследования. Однако он не является оценкой глобальной частоты сильных ветров или сопоставлением всех городов по величине ветрового ущерба.</w:t>
      </w:r>
      <w:bookmarkEnd w:id="30"/>
    </w:p>
    <w:p>
      <w:bookmarkStart w:id="31" w:name="sc_body_31"/>
      <w:pPr/>
      <w:r>
        <w:t>В этой работе адаптационная способность рассматривается через финансовые, человеческие, социальные, материальные и институциональные ресурсы. Среди примеров названы доступ к страхованию и кредитам, коммуникационные сети, образование и здоровье, здания и водоснабжение, участие в решениях и управление рисками [4]. Поэтому в рамках данного обзора предлагается оценивать ветровую уязвимость не только по физическому состоянию объекта, но и по доступным людям ресурсам восстановления. Это аналитическая схема сопоставления, а не количественно проверенная модель ветровой нагрузки.</w:t>
      </w:r>
      <w:bookmarkEnd w:id="31"/>
    </w:p>
    <w:p>
      <w:bookmarkStart w:id="32" w:name="sc_body_32"/>
      <w:pPr/>
      <w:r>
        <w:t>Инженерная сторона ветровой адаптации в исследовании Доминики представлена обсуждением традиционного строительства. Авторы ссылаются на практику домов Ti Kai Creole и отмечают свидетельства того, что некоторые такие дома выдерживали несколько ураганов. Одновременно они подчеркивают ценность научных и местных знаний для планов адаптации [4]. Это контекстный пример, а не универсальная рекомендация по конструкции зданий. Для переноса подобного решения в другой город в настоящем обзоре предлагается предварительно проверять местные условия и требования к безопасности.</w:t>
      </w:r>
      <w:bookmarkEnd w:id="32"/>
    </w:p>
    <w:p>
      <w:bookmarkStart w:id="33" w:name="sc_body_33"/>
      <w:pPr/>
      <w:r>
        <w:t>Ограничения качественного материала существенны для интерпретации ветровых рисков. Авторы указывают на сильную сосредоточенность интервью на тропическом шторме Erika и урагане Maria, а также на подготовке и реагировании после этих событий. Пережитые бедствия повлияли на набор участников и их ответы; разнообразие представленных ситуаций оказалось ограниченным [4]. Поэтому описанный опыт полезен для постановки вопросов о восстановлении и адаптационной способности, но его нельзя автоматически распространять на все климатические угрозы или считать исчерпывающим описанием островных сообществ.</w:t>
      </w:r>
      <w:bookmarkEnd w:id="33"/>
    </w:p>
    <w:p>
      <w:bookmarkStart w:id="34" w:name="sc_body_34"/>
      <w:pPr/>
      <w:r>
        <w:t>Более широкую рамку городской уязвимости предлагает исследование Индии. Оно различает инженерную устойчивость, применение климатических прогнозов к будущим рискам и развитие адаптационной способности для непредвиденных воздействий. Авторы также отмечают ограничения адаптации, связанные с социальными, техническими и управленческими условиями [1]. Для сопоставления с ветровой темой можно использовать именно это различие подходов: проверять отдельно защиту инфраструктуры, подготовку к прогнозируемой опасности и способность поддерживать основные функции при нарушениях.</w:t>
      </w:r>
      <w:bookmarkEnd w:id="34"/>
    </w:p>
    <w:p>
      <w:bookmarkStart w:id="35" w:name="sc_body_35"/>
      <w:pPr/>
      <w:r>
        <w:t>Исследование CACCP позволяет дополнить обсуждение уязвимости политическим уровнем, но требует осторожного переноса. В нем городская климатическая устойчивость понимается через стабильность, координацию и трансформацию; для ее оценки построена система показателей [2]. Это иной объект, чем прочность здания при урагане или опыт перемещенного домохозяйства. В настоящем обзоре предлагается использовать китайский пример для обсуждения оценки политики, а материал Доминики — для анализа последствий экстремальных событий и ресурсов адаптации [4]. Объединять их в доказательство эффективности CACCP против сильного ветра было бы неверно.</w:t>
      </w:r>
      <w:bookmarkEnd w:id="35"/>
    </w:p>
    <w:p>
      <w:pPr>
        <w:pStyle w:val="Heading2"/>
      </w:pPr>
      <w:r>
        <w:t>1.2. Меры адаптации и границы переноса результатов</w:t>
      </w:r>
    </w:p>
    <w:p>
      <w:bookmarkStart w:id="37" w:name="sc_body_37"/>
      <w:pPr/>
      <w:r>
        <w:t>Меры адаптации следует сопоставлять с теми опасностями и городскими функциями, для которых они предложены. В исследовании Индии авторы рассматривают воду, инфраструктуру, здания, городское планирование и здоровье. Альтернативы оцениваются по приоритету, времени реализации и уровню вмешательства: от решений штата и города до отдельных зданий [1]. Для настоящего реферата такая схема полезна как способ упорядочить разные меры. Она не предполагает, что одинаковая технология будет одинаково результативна в каждом секторе или что рекомендованный вариант уже проверен на практике.</w:t>
      </w:r>
      <w:bookmarkEnd w:id="37"/>
    </w:p>
    <w:p>
      <w:bookmarkStart w:id="38" w:name="sc_body_38"/>
      <w:pPr/>
      <w:r>
        <w:t>Для повышения температуры, волн жары и засух индийское исследование рассматривает управление водными и энергетическими потребностями, сбор дождевой воды, зеленые или охлаждающие крыши, озеленение и улицы с деревьями. Для сильных осадков и внезапных наводнений перечислены обслуживание дренажа, улучшение водоотведения, приподнятые входы и хранение стока [1]. Эти предложения показывают связь меры с типом опасности. В обзоре они рассматриваются как варианты адаптации, а не как результаты единого эксперимента, доказавшего одинаковый эффект всех перечисленных решений.</w:t>
      </w:r>
      <w:bookmarkEnd w:id="38"/>
    </w:p>
    <w:p>
      <w:bookmarkStart w:id="39" w:name="sc_body_39"/>
      <w:pPr/>
      <w:r>
        <w:t>Приоритет мер в индийской работе связан также с риском неудачной адаптации. Авторы определяют такую адаптацию как процесс, который прямо или косвенно увеличивает уязвимость либо подрывает возможности последующей адаптации. В качестве примера они обсуждают рост выбросов при использовании кондиционеров в сильную жару [1]. Для данного обзора отсюда следует предложение: при выборе решения желательно заранее указать не только ожидаемую защитную функцию, но и возможные побочные последствия. Это критерий рассмотрения альтернатив, а не утверждение, что любой кондиционер ухудшает климатическую устойчивость города.</w:t>
      </w:r>
      <w:bookmarkEnd w:id="39"/>
    </w:p>
    <w:p>
      <w:bookmarkStart w:id="40" w:name="sc_body_40"/>
      <w:pPr/>
      <w:r>
        <w:t>Китайская политика дает другой пример — оценку комплексной программы, а не отдельного природного решения. В исследовании CACCP обнаружено положительное посредническое влияние зеленых облигаций на климатическую устойчивость. Образование и общественное внимание к экологическим проблемам рассматриваются как положительные модераторы, зависимость от минеральных ресурсов — как отрицательный [2]. Поэтому нельзя описывать повышение образования как установленное следствие зеленых облигаций или приравнивать экологическое внимание к измеренному участию граждан в проектировании озеленения.</w:t>
      </w:r>
      <w:bookmarkEnd w:id="40"/>
    </w:p>
    <w:p>
      <w:bookmarkStart w:id="41" w:name="sc_body_41"/>
      <w:pPr/>
      <w:r>
        <w:t>Границы переноса китайского результата названы самими авторами. Они отмечают ограничения статистической системы и конструирования показателей, зависимость Synthetic DID от алгоритмов подбора весов и трудности учета нескольких вмешательств. Кроме того, политика CACCP имеет определенный региональный и институциональный контекст [2]. В реферате поэтому предлагается рассматривать положительную оценку как свидетельство в пользу программы в изученных условиях. Для другого региона потребовалось бы заново проверить пригодность показателей, сопоставимость городов и действующие одновременно меры.</w:t>
      </w:r>
      <w:bookmarkEnd w:id="41"/>
    </w:p>
    <w:p>
      <w:bookmarkStart w:id="42" w:name="sc_body_42"/>
      <w:pPr/>
      <w:r>
        <w:t>У пространственных решений есть собственные ограничения переноса. В работе о Тегеране авторы указывают, что разрешение теплового канала Landsat ограничило учет небольших зеленых участков. В качестве дальнейших направлений они предлагают данные более высокого разрешения и сценарное моделирование расширения и соединения озеленения [3]. Это означает, что даже детальная карта не должна рассматриваться как полное описание всех локальных охлаждающих элементов. При применении подобного подхода к другому городу в обзоре предлагается сначала определить, какие участки различимы в исходных данных.</w:t>
      </w:r>
      <w:bookmarkEnd w:id="42"/>
    </w:p>
    <w:p>
      <w:bookmarkStart w:id="43" w:name="sc_body_43"/>
      <w:pPr/>
      <w:r>
        <w:t>Социальные рекомендации также нуждаются в указании контекста. Авторы исследования Доминики предлагают укреплять здравоохранение, образование и средства коммуникации; участие жителей и децентрализация обсуждаются как важные задачи развития местной адаптационной способности [4]. Эти рекомендации основаны на качественном исследовании и не задают универсальной величины эффекта участия. Для сопоставления мер в настоящем обзоре предлагается фиксировать, кто участвовал в исследовании, какой дефицит ресурсов описан и какую именно институциональную перемену рекомендуют авторы.</w:t>
      </w:r>
      <w:bookmarkEnd w:id="43"/>
    </w:p>
    <w:p>
      <w:pPr>
        <w:pStyle w:val="Heading1"/>
        <w:pageBreakBefore/>
      </w:pPr>
      <w:r>
        <w:t>2. Оценка и внедрение адаптационных мер</w:t>
      </w:r>
    </w:p>
    <w:p>
      <w:pPr>
        <w:pStyle w:val="Heading2"/>
      </w:pPr>
      <w:r>
        <w:t>2.1. ГИС и зелёная инфраструктура</w:t>
      </w:r>
    </w:p>
    <w:p>
      <w:bookmarkStart w:id="46" w:name="sc_body_46"/>
      <w:pPr/>
      <w:r>
        <w:t>Геоинформационный подход позволяет обсуждать адаптацию через расположение опасностей и элементов городской среды. В исследовании Индии региональные изменения температуры и осадков картографировались в Arc Map, а положение городов совмещалось с полученными картами для оценки уязвимости [1]. В работе о Тегеране пространственные инструменты применены к температуре поверхности, растительности и связанности зеленых участков [3]. Эти примеры показывают разные задачи ГИС: сопоставление города с региональным климатическим сценарием и анализ внутренней структуры городской территории.</w:t>
      </w:r>
      <w:bookmarkEnd w:id="46"/>
    </w:p>
    <w:p>
      <w:bookmarkStart w:id="47" w:name="sc_body_47"/>
      <w:pPr/>
      <w:r>
        <w:t>В Тегеране последовательность анализа включает построение карт температуры поверхности и NDVI, выделение тепловых островов с помощью пространственной статистики Getis-Ord Gi*, определение зеленых ядер и моделирование их связанности. Для последнего используется Circuitscape, а изменения ландшафта и фрагментация анализируются с помощью FRAGSTATS и ArcGIS [3]. Здесь зеленая инфраструктура рассматривается как пространственная сеть участков. Для интерпретации результата важно проследить всю цепочку обработки, поскольку итоговая карта связанности формируется из выбранных исходных карт и процедур анализа.</w:t>
      </w:r>
      <w:bookmarkEnd w:id="47"/>
    </w:p>
    <w:p>
      <w:bookmarkStart w:id="48" w:name="sc_body_48"/>
      <w:pPr/>
      <w:r>
        <w:t>Результаты модели требуют пространственного прочтения. Авторы сообщают, что в более поздний период потоки связанности концентрируются в северной части Тегерана. Такое изменение может означать улучшение локальной связанности, но одновременно указывает на пространственный дисбаланс распределения зеленых зон [3]. Поэтому локальное увеличение модельного потока в данном обзоре не трактуется как равномерное улучшение охлаждающей функции повсюду. При оценке зеленой инфраструктуры предлагается отдельно рассматривать локальное усиление связей и территориальное распределение доступных зеленых участков.</w:t>
      </w:r>
      <w:bookmarkEnd w:id="48"/>
    </w:p>
    <w:p>
      <w:bookmarkStart w:id="49" w:name="sc_body_49"/>
      <w:pPr/>
      <w:r>
        <w:t>Ландшафтный анализ в той же работе указывает на фрагментацию холодных участков и расширение горячих зон. Авторы связывают снижение целостности зеленой сети с ослаблением ее терморегулирующей функции и рекомендуют сохранять не только площадь озеленения, но и пространственную связанность [3]. Для рассматриваемой задачи это различие принципиально: перечень отдельных зеленых объектов и характеристика сети отвечают на разные вопросы. В обзоре предлагается проверять, какие показатели описывают площадь, какие — расположение и разобщенность участков, а какие относятся к моделируемым связям между ними.</w:t>
      </w:r>
      <w:bookmarkEnd w:id="49"/>
    </w:p>
    <w:p>
      <w:bookmarkStart w:id="50" w:name="sc_body_50"/>
      <w:pPr/>
      <w:r>
        <w:t>Практическое применение модели авторы связывают с поиском ключевых узлов и узких мест зеленой сети. Приоритетное внимание к разорванным коридорам предлагается как направление планирования новых насаждений и восстановления существующих [3]. Это рекомендация на основе пространственного анализа, а не отчет о завершенном муниципальном проекте с измеренным последующим эффектом. Для возможного применения в другом городе реферат предлагает предварительно сформулировать цель вмешательства, выбрать участок и определить, какие наблюдения позволили бы позднее оценить изменение охлаждающей функции.</w:t>
      </w:r>
      <w:bookmarkEnd w:id="50"/>
    </w:p>
    <w:p>
      <w:bookmarkStart w:id="51" w:name="sc_body_51"/>
      <w:pPr/>
      <w:r>
        <w:t>Качество пространственного анализа связано также с процедурой выделения зеленых участков. В исследовании Тегерана авторы размечали примеры зеленых и незеленых территорий по спутниковым изображениям, а затем использовали их совместно с картами температуры поверхности и NDVI. Порог разделения классов определялся с помощью ROC-кривой и статистики TSS [3]. Таким образом, граница зеленого участка в модели является результатом определенной процедуры классификации. Для применения метода в другом городе в обзоре предлагается проверять, как отобраны исходные примеры и насколько принятый порог подходит новой территории.</w:t>
      </w:r>
      <w:bookmarkEnd w:id="51"/>
    </w:p>
    <w:p>
      <w:pPr>
        <w:pStyle w:val="Heading2"/>
      </w:pPr>
      <w:r>
        <w:t>2.2. Валидация результатов оценки</w:t>
      </w:r>
    </w:p>
    <w:p>
      <w:bookmarkStart w:id="53" w:name="sc_body_53"/>
      <w:pPr/>
      <w:r>
        <w:t>Валидация оценки адаптации начинается с уточнения проверяемого результата. В обзоре литературы китайской статьи отмечено, что многие оценки ограничиваются количественным описанием результатов деятельности и процессов; авторы указывают на необходимость изучать воздействие политики и механизмы ее действия [2]. Это не означает, что количественные методы следует заменить качественными. В настоящем реферате предлагается различать описание выполненной меры, оценку изменения выбранного показателя и объяснение механизма этого изменения. Для каждого уровня потребовались бы соответствующие данные и критерии проверки.</w:t>
      </w:r>
      <w:bookmarkEnd w:id="53"/>
    </w:p>
    <w:p>
      <w:bookmarkStart w:id="54" w:name="sc_body_54"/>
      <w:pPr/>
      <w:r>
        <w:t>Пример проверки эффекта политики дает Synthetic DID в исследовании CACCP. Авторы выбирают веса для городов контрольной группы так, чтобы их дополитическая динамика была близка к динамике пилотных городов; затем задают временные веса и оценивают средний эффект вмешательства [2]. Следовательно, основание вывода здесь — сопоставление взвешенных траекторий, а не простое наблюдение роста показателя после начала программы. При оценке подобной работы предлагается отдельно рассматривать состав контрольной группы, качество предварительного соответствия и способ расчета эффекта.</w:t>
      </w:r>
      <w:bookmarkEnd w:id="54"/>
    </w:p>
    <w:p>
      <w:bookmarkStart w:id="55" w:name="sc_body_55"/>
      <w:pPr/>
      <w:r>
        <w:t>В исследовании проведены дополнительные проверки устойчивости результата. В пространственно-временном плацебо-тесте случайно создавались условные экспериментальные группы и даты начала политики; полученные оценки сопоставлялись с оценкой фактического воздействия. Авторы сообщают, что оценки случайных воздействий сосредоточены около нуля и заметно меньше оценки реальной политики [2]. Такая процедура усиливает аргументацию в рамках принятого дизайна. Однако сами авторы сохраняют оговорки о выборе весов, множественных вмешательствах и ограниченности регионального контекста.</w:t>
      </w:r>
      <w:bookmarkEnd w:id="55"/>
    </w:p>
    <w:p>
      <w:bookmarkStart w:id="56" w:name="sc_body_56"/>
      <w:pPr/>
      <w:r>
        <w:t>Оценка механизмов отделена в китайской работе от оценки общего эффекта. Посредническую роль зеленых облигаций проверяют пошаговой регрессией и тестом Собеля. Образование, общественное экологическое внимание и ресурсная зависимость включены в отдельный анализ модерации [2]. Поэтому одинаковое слово «фактор» не должно скрывать разные статистические роли переменных. В реферате предлагается указывать, какой результат относится к передаче воздействия политики через финансовый инструмент, а какой — к различиям силы эффекта в зависимости от характеристик города.</w:t>
      </w:r>
      <w:bookmarkEnd w:id="56"/>
    </w:p>
    <w:p>
      <w:bookmarkStart w:id="57" w:name="sc_body_57"/>
      <w:pPr/>
      <w:r>
        <w:t>Для пространственного и качественного подходов необходимо уточнять, что именно проверяется. В Тегеране ROC-кривая и статистика TSS используются при определении порога разделения зеленых и незеленых участков [3]. Это проверка классификации, которую в обзоре предлагается отличать от оценки результата реального озеленительного вмешательства. В исследовании Доминики авторы, со своей стороны, ограничивают выводы разнообразием представленных в интервью ситуаций и влиянием пережитых экстремальных событий на ответы [4]. Поэтому при сопоставлении работ следует сохранять связь между методом, проверяемым объектом и допустимым масштабом вывода.</w:t>
      </w:r>
      <w:bookmarkEnd w:id="57"/>
    </w:p>
    <w:p>
      <w:pPr>
        <w:pStyle w:val="Heading2"/>
      </w:pPr>
      <w:r>
        <w:t>2.3. Барьеры и условия внедрения</w:t>
      </w:r>
    </w:p>
    <w:p>
      <w:bookmarkStart w:id="59" w:name="sc_body_59"/>
      <w:pPr/>
      <w:r>
        <w:t>Барьеры внедрения можно рассматривать на нескольких уровнях. В статье о CACCP выделены общие пробелы финансирования, знаний и практики [2]. Для данного обзора это основание разделять нехватку средств, недостаток информации и затруднения практической реализации. Такое разделение предлагается как рабочая схема. При рассмотрении конкретного проекта желательно установить, какое препятствие описано материалом, кто мог бы участвовать в его устранении и на каком уровне управления предполагается действовать. Эти вопросы обозначают задачу последующего анализа, а не установленное распределение барьеров во всех городах.</w:t>
      </w:r>
      <w:bookmarkEnd w:id="59"/>
    </w:p>
    <w:p>
      <w:bookmarkStart w:id="60" w:name="sc_body_60"/>
      <w:pPr/>
      <w:r>
        <w:t>Финансовые ограничения подробно обсуждаются на индийском материале. Авторы отмечают трудности финансирования климатических проектов, недостаток ресурсов городских органов для обычных функций и слабости институтов городских финансов. При этом государственное финансирование описано как основной источник развития инфраструктуры, а роль муниципальных облигаций и частных вложений — как ограниченная [1]. Это контекстное описание финансовой системы. Оно помогает поставить вопрос о доступности ресурсов, но не позволяет утверждать, что выбранный финансовый инструмент одинаково решит бюджетные проблемы любого города.</w:t>
      </w:r>
      <w:bookmarkEnd w:id="60"/>
    </w:p>
    <w:p>
      <w:bookmarkStart w:id="61" w:name="sc_body_61"/>
      <w:pPr/>
      <w:r>
        <w:t>Зеленые облигации в исследовании CACCP рассматриваются как посреднический механизм воздействия политики на городскую климатическую устойчивость. Пошаговая регрессия и тест Собеля дали положительный результат, однако сами авторы характеризуют величину посреднического воздействия как сравнительно небольшую и рекомендуют усилить роль финансового рынка в климатических инвестициях [2]. Поэтому в обзоре предлагается различать наличие статистически выявленного канала и достаточность финансирования всей адаптационной программы. Первое не следует автоматически трактовать как устранение всех ресурсных ограничений.</w:t>
      </w:r>
      <w:bookmarkEnd w:id="61"/>
    </w:p>
    <w:p>
      <w:bookmarkStart w:id="62" w:name="sc_body_62"/>
      <w:pPr/>
      <w:r>
        <w:t>Образование и экологическое внимание в китайской работе положительно модерируют эффект CACCP. При этом переменные имеют определенные способы измерения: экологическое внимание выражено через поисковый индекс Baidu по загрязнению окружающей среды, а образование — через долю студентов вузов относительно числа зарегистрированных жителей города [2]. Эти показатели нельзя без оговорок переименовывать в участие всех граждан, качество экологического просвещения или охват образовательной программой. Для интерпретации социального барьера предлагается сначала назвать использованную переменную и только затем обсуждать возможные практические рекомендации.</w:t>
      </w:r>
      <w:bookmarkEnd w:id="62"/>
    </w:p>
    <w:p>
      <w:bookmarkStart w:id="63" w:name="sc_body_63"/>
      <w:pPr/>
      <w:r>
        <w:t>Ресурсная зависимость также имеет конкретный смысл в эмпирической модели. Авторы измеряют ее долей занятых в добывающей промышленности в городской занятости и находят отрицательное модерирующее влияние на эффект CACCP [2]. Это результат о связи характеристики экономики с действием политики в изученной выборке. Он не является непосредственным доказательством конфликта интересов конкретных предприятий и властей. В реферате предлагается использовать его как основание для отдельного рассмотрения структуры городской экономики, сохраняя различие между измеренной зависимостью и предполагаемым объяснением поведения участников.</w:t>
      </w:r>
      <w:bookmarkEnd w:id="63"/>
    </w:p>
    <w:p>
      <w:bookmarkStart w:id="64" w:name="sc_body_64"/>
      <w:pPr/>
      <w:r>
        <w:t>Организационные условия внедрения раскрыты в индийском подходе к многоуровневому управлению. Авторы предлагают развивать компетенции должностных лиц и других участников на национальном, региональном и местном уровнях. Обучение дополняется регулярным мониторингом механизмов, включенных в политики и планы, чтобы анализировать действия, их ход и воздействие на общество [1]. Это предложение об организационном сопровождении адаптации. Для настоящего обзора его значение состоит в том, что обсуждение технологии желательно дополнять вопросами об ответственном органе, подготовке исполнителей и последующем наблюдении за реализацией.</w:t>
      </w:r>
      <w:bookmarkEnd w:id="64"/>
    </w:p>
    <w:p>
      <w:bookmarkStart w:id="65" w:name="sc_body_65"/>
      <w:pPr/>
      <w:r>
        <w:t>В исследовании Доминики участие и децентрализация обсуждаются как задачи укрепления местной адаптационной способности. Авторы считают, что ограниченность участия в национальных решениях и тенденция к централизации могут создавать препятствия; вместе с тем они оговаривают интерпретационный характер этого вывода [4]. Здесь речь идет о качественном понимании институциональных отношений. В обзоре предлагается сохранить эту осторожность: материал позволяет обсуждать барьер представительства и обмена знаниями, но не дает основания вычислять вероятность успеха любой программы с участием населения.</w:t>
      </w:r>
      <w:bookmarkEnd w:id="65"/>
    </w:p>
    <w:p>
      <w:bookmarkStart w:id="66" w:name="sc_body_66"/>
      <w:pPr/>
      <w:r>
        <w:t>Коммуникационные меры в той же работе сформулированы как возможные направления усиления адаптационной способности. Авторы предлагают уделять больше внимания национальным и местным сообщениям в средствах информации, коммуникационным сетям и обмену знаниями. Участие сообщества описано через слушание, диалог, обсуждение и совместное принятие согласованных решений [4]. Эти рекомендации не означают, что просвещение способно заменить материальные ресурсы. Для возможной местной программы в обзоре предлагается отдельно определить информационную задачу, адресатов коммуникации и необходимые для реализации средства.</w:t>
      </w:r>
      <w:bookmarkEnd w:id="66"/>
    </w:p>
    <w:p>
      <w:bookmarkStart w:id="67" w:name="sc_body_67"/>
      <w:pPr/>
      <w:r>
        <w:t>В качестве обобщающего предложения реферата целесообразно составить для рассматриваемого города программу проверки реализации. В ней можно было бы описать исходное состояние объекта, ожидаемое изменение, действия ответственных участников, необходимые ресурсы и способ последующего наблюдения. Такую программу желательно согласовать с конкретной задачей адаптации, а ее пересмотр связать с результатами проверки. Это авторское методическое предложение, которое еще потребовало бы разработки для выбранного города. Оно не выдается за содержание опубликованной стратегии или доказанный способ повышения эффективности муниципального управления.</w:t>
      </w:r>
      <w:bookmarkEnd w:id="67"/>
    </w:p>
    <w:p>
      <w:pPr>
        <w:pStyle w:val="Heading1"/>
        <w:pageBreakBefore/>
      </w:pPr>
      <w:r>
        <w:t>Заключение</w:t>
      </w:r>
    </w:p>
    <w:p>
      <w:bookmarkStart w:id="69" w:name="sc_body_69"/>
      <w:pPr/>
      <w:r>
        <w:t>Рассмотренные исследования показывают разные способы постановки задачи городской адаптации. Китайская работа оценивает эффект CACCP и его механизмы на данных городов бассейна Желтой реки [2]. Индийское исследование соединяет климатические сценарии, выбор мер и многоуровневое управление [1]. Материал Доминики раскрывает опыт людей после экстремальных событий и условия местной адаптационной способности [4]. В реферате эти подходы сопоставлены как взаимодополняющие направления анализа; объединять их в одну универсальную оценку эффективности всех адаптационных мер не предлагается.</w:t>
      </w:r>
      <w:bookmarkEnd w:id="69"/>
    </w:p>
    <w:p>
      <w:bookmarkStart w:id="70" w:name="sc_body_70"/>
      <w:pPr/>
      <w:r>
        <w:t>ГИС и зеленая инфраструктура рассмотрены на примере пространственного анализа Тегерана. Его существенный результат — внимание к связанности зеленых участков, фрагментации и территориальному дисбалансу охлаждающей функции; возможность локального усиления связей не устраняет проблемы распределения озеленения по городу [3]. Поэтому в качестве вывода обзора предлагается оценивать зеленую инфраструктуру по нескольким характеристикам одновременно. При этом необходимо сохранять ограничения исходных данных: малые участки могут быть не представлены в модели, а рекомендация по планированию еще не равна измеренному результату выполненного вмешательства.</w:t>
      </w:r>
      <w:bookmarkEnd w:id="70"/>
    </w:p>
    <w:p>
      <w:bookmarkStart w:id="71" w:name="sc_body_71"/>
      <w:pPr/>
      <w:r>
        <w:t>Анализ внедрения также требует различать статистический результат и рекомендацию. В китайской работе зеленые облигации выступают посредническим механизмом, а образование, экологическое внимание и минеральная зависимость — модераторами эффекта политики [2]. В индийском материале обучение, включение мер в планы и мониторинг предложены как элементы управления реализацией [1]. Эти положения дают основание обсуждать финансовые и институциональные условия совместно. Однако в реферате не предполагается, что образовательная или коммуникационная мера сама по себе устранит дефицит средств либо обеспечит одинаковый результат в любом городе.</w:t>
      </w:r>
      <w:bookmarkEnd w:id="71"/>
    </w:p>
    <w:p>
      <w:bookmarkStart w:id="72" w:name="sc_body_72"/>
      <w:pPr/>
      <w:r>
        <w:t>Основной вывод реферата состоит в необходимости сопоставлять меру адаптации с опасностью, масштабом анализа, методом оценки и условиями применения. Для дальнейшего рассмотрения конкретного города предлагается сначала определить проверяемый исход, затем выбрать подходящие данные и только после этого сравнивать варианты вмешательства. Желательно отдельно фиксировать ожидаемый эффект, подтвержденный результат и ограничения переноса. Такая последовательность могла бы сделать обсуждение адаптации более проверяемым: вместо общего утверждения об устойчивости появлялись бы конкретные вопросы к проекту, его основаниям и способу последующей оценки.</w:t>
      </w:r>
      <w:bookmarkEnd w:id="72"/>
    </w:p>
    <w:p>
      <w:pPr>
        <w:pStyle w:val="Heading1"/>
        <w:pageBreakBefore/>
      </w:pPr>
      <w:r>
        <w:t>Список использованных источников</w:t>
      </w:r>
    </w:p>
    <w:p>
      <w:pPr>
        <w:keepNext w:val="0"/>
        <w:keepLines/>
        <w:spacing w:before="0" w:after="120" w:line="276" w:lineRule="auto"/>
        <w:ind w:left="425" w:hanging="425"/>
        <w:jc w:val="left"/>
      </w:pPr>
      <w:r>
        <w:rPr>
          <w:rFonts w:ascii="Times New Roman" w:hAnsi="Times New Roman"/>
          <w:b w:val="0"/>
          <w:sz w:val="28"/>
        </w:rPr>
        <w:t>1. Sethi M., Sharma R., Mohapatra S., et al. How to tackle complexity in urban climate resilience? Negotiating climate science, adaptation and multi-level governance in India. PLOS ONE. 2021; 16(7). https://doi.org/10.1371/journal.pone.0253904</w:t>
      </w:r>
    </w:p>
    <w:p>
      <w:pPr>
        <w:keepNext w:val="0"/>
        <w:keepLines/>
        <w:spacing w:before="0" w:after="120" w:line="276" w:lineRule="auto"/>
        <w:ind w:left="425" w:hanging="425"/>
        <w:jc w:val="left"/>
      </w:pPr>
      <w:r>
        <w:rPr>
          <w:rFonts w:ascii="Times New Roman" w:hAnsi="Times New Roman"/>
          <w:b w:val="0"/>
          <w:sz w:val="28"/>
        </w:rPr>
        <w:t>2. Yin A., Liu Z. How can climate adaptation policy enhance urban climate resilience? Empirical evidence from China. PLOS One. 2025; 20(11). https://doi.org/10.1371/journal.pone.0335736</w:t>
      </w:r>
    </w:p>
    <w:p>
      <w:pPr>
        <w:keepNext w:val="0"/>
        <w:keepLines/>
        <w:spacing w:before="0" w:after="120" w:line="276" w:lineRule="auto"/>
        <w:ind w:left="425" w:hanging="425"/>
        <w:jc w:val="left"/>
      </w:pPr>
      <w:r>
        <w:rPr>
          <w:rFonts w:ascii="Times New Roman" w:hAnsi="Times New Roman"/>
          <w:b w:val="0"/>
          <w:sz w:val="28"/>
        </w:rPr>
        <w:t>3. Omidighalehmohammadi Z., Morovati M., Karami P., et al. Spatiotemporal modeling of urban green space connectivity and landscape structure for climate adaptation in Tehran, Iran. PLOS One. 2026; 21(4). https://doi.org/10.1371/journal.pone.0341276</w:t>
      </w:r>
    </w:p>
    <w:p>
      <w:pPr>
        <w:keepNext w:val="0"/>
        <w:keepLines/>
        <w:spacing w:before="0" w:after="120" w:line="276" w:lineRule="auto"/>
        <w:ind w:left="425" w:hanging="425"/>
        <w:jc w:val="left"/>
      </w:pPr>
      <w:r>
        <w:rPr>
          <w:rFonts w:ascii="Times New Roman" w:hAnsi="Times New Roman"/>
          <w:b w:val="0"/>
          <w:sz w:val="28"/>
        </w:rPr>
        <w:t>4. Cooper S., Cloos P., Abraham C., et al. What can be said about risks, vulnerabilities, and adaptation to climate change in Caribbean small island developing states (SIDS)? The case of Dominica. A qualitative study. PLOS Climate. 2025; 4(4). https://doi.org/10.1371/journal.pclm.0000275</w:t>
      </w:r>
    </w:p>
    <w:sectPr w:rsidR="00FC693F" w:rsidRPr="0006063C" w:rsidSect="00034616">
      <w:footerReference w:type="default" r:id="rId9"/>
      <w:pgSz w:w="11906" w:h="16838"/>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sz w:val="28"/>
      <w:rFonts w:ascii="Times New Roman" w:hAnsi="Times New Roman" w:cs="Times New Roman" w:eastAsia="Times New Roman"/>
      <w:color w:val="000000"/>
      <w:szCs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40" w:line="360" w:lineRule="auto"/>
      <w:ind w:firstLine="0"/>
      <w:jc w:val="center"/>
      <w:outlineLvl w:val="0"/>
    </w:pPr>
    <w:rPr>
      <w:b/>
      <w:bCs/>
      <w:color w:val="000000"/>
      <w:sz w:val="32"/>
      <w:szCs w:val="32"/>
      <w:rFonts w:ascii="Times New Roman" w:hAnsi="Times New Roman" w:cs="Times New Roman" w:eastAsia="Times New Roman"/>
    </w:rPr>
  </w:style>
  <w:style w:type="paragraph" w:styleId="Heading2">
    <w:name w:val="heading 2"/>
    <w:basedOn w:val="Normal"/>
    <w:next w:val="Normal"/>
    <w:link w:val="Heading2Char"/>
    <w:uiPriority w:val="9"/>
    <w:unhideWhenUsed/>
    <w:qFormat/>
    <w:rsid w:val="00FC693F"/>
    <w:pPr>
      <w:keepNext/>
      <w:keepLines/>
      <w:spacing w:before="160" w:after="160" w:line="360" w:lineRule="auto"/>
      <w:ind w:firstLine="0"/>
      <w:jc w:val="left"/>
      <w:outlineLvl w:val="1"/>
    </w:pPr>
    <w:rPr>
      <w:b/>
      <w:bCs/>
      <w:color w:val="000000"/>
      <w:sz w:val="28"/>
      <w:szCs w:val="28"/>
      <w:rFonts w:ascii="Times New Roman" w:hAnsi="Times New Roman" w:cs="Times New Roman" w:eastAsia="Times New Roma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