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 w:before="0" w:after="0"/>
        <w:ind w:firstLine="0"/>
        <w:jc w:val="center"/>
      </w:pPr>
      <w:r>
        <w:rPr>
          <w:b w:val="0"/>
          <w:sz w:val="28"/>
          <w:rFonts w:ascii="Times New Roman" w:hAnsi="Times New Roman" w:cs="Times New Roman" w:eastAsia="Times New Roman"/>
        </w:rPr>
        <w:t>Наименование вуза ____________________</w:t>
      </w:r>
    </w:p>
    <w:p>
      <w:pPr>
        <w:spacing w:line="240" w:lineRule="auto" w:before="120" w:after="0"/>
        <w:ind w:firstLine="0"/>
        <w:jc w:val="center"/>
      </w:pPr>
      <w:r>
        <w:rPr>
          <w:b w:val="0"/>
          <w:sz w:val="28"/>
          <w:rFonts w:ascii="Times New Roman" w:hAnsi="Times New Roman" w:cs="Times New Roman" w:eastAsia="Times New Roman"/>
        </w:rPr>
        <w:t>Кафедра ____________________</w:t>
      </w:r>
    </w:p>
    <w:p>
      <w:pPr>
        <w:spacing w:line="240" w:lineRule="auto" w:before="2400" w:after="0"/>
        <w:ind w:firstLine="0"/>
        <w:jc w:val="center"/>
      </w:pPr>
      <w:r>
        <w:rPr>
          <w:b/>
          <w:sz w:val="32"/>
          <w:rFonts w:ascii="Times New Roman" w:hAnsi="Times New Roman" w:cs="Times New Roman" w:eastAsia="Times New Roman"/>
        </w:rPr>
        <w:t>Школьный проект</w:t>
      </w:r>
    </w:p>
    <w:p>
      <w:pPr>
        <w:spacing w:line="240" w:lineRule="auto" w:before="240" w:after="0"/>
        <w:ind w:firstLine="0"/>
        <w:jc w:val="center"/>
      </w:pPr>
      <w:r>
        <w:rPr>
          <w:b/>
          <w:sz w:val="32"/>
          <w:rFonts w:ascii="Times New Roman" w:hAnsi="Times New Roman" w:cs="Times New Roman" w:eastAsia="Times New Roman"/>
        </w:rPr>
        <w:t>на тему: «Зелёный школьный двор: учебный проект климатической адаптации»</w:t>
      </w:r>
    </w:p>
    <w:p>
      <w:pPr>
        <w:spacing w:line="240" w:lineRule="auto" w:before="2400" w:after="0"/>
        <w:ind w:firstLine="0"/>
        <w:jc w:val="right"/>
      </w:pPr>
      <w:r>
        <w:rPr>
          <w:b w:val="0"/>
          <w:sz w:val="28"/>
          <w:rFonts w:ascii="Times New Roman" w:hAnsi="Times New Roman" w:cs="Times New Roman" w:eastAsia="Times New Roman"/>
        </w:rPr>
        <w:t>ФИО студента ____________________</w:t>
      </w:r>
    </w:p>
    <w:p>
      <w:pPr>
        <w:spacing w:line="240" w:lineRule="auto" w:before="120" w:after="0"/>
        <w:ind w:firstLine="0"/>
        <w:jc w:val="right"/>
      </w:pPr>
      <w:r>
        <w:rPr>
          <w:b w:val="0"/>
          <w:sz w:val="28"/>
          <w:rFonts w:ascii="Times New Roman" w:hAnsi="Times New Roman" w:cs="Times New Roman" w:eastAsia="Times New Roman"/>
        </w:rPr>
        <w:t>Группа ____________________</w:t>
      </w:r>
    </w:p>
    <w:p>
      <w:pPr>
        <w:spacing w:line="240" w:lineRule="auto" w:before="120" w:after="0"/>
        <w:ind w:firstLine="0"/>
        <w:jc w:val="right"/>
      </w:pPr>
      <w:r>
        <w:rPr>
          <w:b w:val="0"/>
          <w:sz w:val="28"/>
          <w:rFonts w:ascii="Times New Roman" w:hAnsi="Times New Roman" w:cs="Times New Roman" w:eastAsia="Times New Roman"/>
        </w:rPr>
        <w:t>Руководитель ____________________</w:t>
      </w:r>
    </w:p>
    <w:p>
      <w:pPr>
        <w:spacing w:line="240" w:lineRule="auto" w:before="2400" w:after="0"/>
        <w:ind w:firstLine="0"/>
        <w:jc w:val="center"/>
      </w:pPr>
      <w:r>
        <w:rPr>
          <w:b w:val="0"/>
          <w:sz w:val="28"/>
          <w:rFonts w:ascii="Times New Roman" w:hAnsi="Times New Roman" w:cs="Times New Roman" w:eastAsia="Times New Roman"/>
        </w:rPr>
        <w:t>2026</w:t>
      </w:r>
    </w:p>
    <w:p>
      <w:r>
        <w:br w:type="page"/>
      </w:r>
    </w:p>
    <w:p>
      <w:pPr>
        <w:spacing w:line="360" w:lineRule="auto" w:after="240"/>
        <w:ind w:firstLine="0"/>
        <w:jc w:val="center"/>
      </w:pPr>
      <w:r>
        <w:rPr>
          <w:b/>
          <w:sz w:val="28"/>
          <w:rFonts w:ascii="Times New Roman" w:hAnsi="Times New Roman" w:cs="Times New Roman" w:eastAsia="Times New Roman"/>
        </w:rPr>
        <w:t>Содержание</w:t>
      </w:r>
    </w:p>
    <w:p>
      <w:pPr>
        <w:spacing w:line="240" w:lineRule="auto"/>
        <w:ind w:firstLine="0"/>
      </w:pPr>
      <w:r>
        <w:rPr>
          <w:rFonts w:ascii="Times New Roman" w:hAnsi="Times New Roman"/>
          <w:sz w:val="28"/>
        </w:rPr>
        <w:fldChar w:fldCharType="begin"/>
        <w:instrText xml:space="preserve">TOC \o "1-3" \h \z \u</w:instrText>
        <w:fldChar w:fldCharType="separate"/>
      </w:r>
    </w:p>
    <w:p>
      <w:pPr>
        <w:spacing w:line="360" w:lineRule="auto" w:before="0" w:after="0"/>
        <w:ind w:firstLine="0" w:left="0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Введение</w:t>
      </w:r>
      <w:r>
        <w:tab/>
      </w:r>
      <w:r>
        <w:rPr>
          <w:sz w:val="28"/>
          <w:rFonts w:ascii="Times New Roman" w:hAnsi="Times New Roman" w:cs="Times New Roman" w:eastAsia="Times New Roman"/>
        </w:rPr>
        <w:t>3</w:t>
      </w:r>
    </w:p>
    <w:p>
      <w:pPr>
        <w:spacing w:line="360" w:lineRule="auto" w:before="0" w:after="0"/>
        <w:ind w:firstLine="0" w:left="0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1. Проблема и научное обоснование учебного проекта</w:t>
      </w:r>
      <w:r>
        <w:tab/>
      </w:r>
      <w:r>
        <w:rPr>
          <w:sz w:val="28"/>
          <w:rFonts w:ascii="Times New Roman" w:hAnsi="Times New Roman" w:cs="Times New Roman" w:eastAsia="Times New Roman"/>
        </w:rPr>
        <w:t>5</w:t>
      </w:r>
    </w:p>
    <w:p>
      <w:pPr>
        <w:spacing w:line="360" w:lineRule="auto" w:before="0" w:after="0"/>
        <w:ind w:firstLine="0" w:left="709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1.1. Климатические риски и роль зелёных пространств</w:t>
      </w:r>
      <w:r>
        <w:tab/>
      </w:r>
      <w:r>
        <w:rPr>
          <w:sz w:val="28"/>
          <w:rFonts w:ascii="Times New Roman" w:hAnsi="Times New Roman" w:cs="Times New Roman" w:eastAsia="Times New Roman"/>
        </w:rPr>
        <w:t>5</w:t>
      </w:r>
    </w:p>
    <w:p>
      <w:pPr>
        <w:spacing w:line="360" w:lineRule="auto" w:before="0" w:after="0"/>
        <w:ind w:firstLine="0" w:left="709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1.2. Условная модель школьного двора и ограничения исходных данных</w:t>
      </w:r>
      <w:r>
        <w:tab/>
      </w:r>
      <w:r>
        <w:rPr>
          <w:sz w:val="28"/>
          <w:rFonts w:ascii="Times New Roman" w:hAnsi="Times New Roman" w:cs="Times New Roman" w:eastAsia="Times New Roman"/>
        </w:rPr>
        <w:t>6</w:t>
      </w:r>
    </w:p>
    <w:p>
      <w:pPr>
        <w:spacing w:line="360" w:lineRule="auto" w:before="0" w:after="0"/>
        <w:ind w:firstLine="0" w:left="0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2. Проектное предложение «Зелёный школьный двор»</w:t>
      </w:r>
      <w:r>
        <w:tab/>
      </w:r>
      <w:r>
        <w:rPr>
          <w:sz w:val="28"/>
          <w:rFonts w:ascii="Times New Roman" w:hAnsi="Times New Roman" w:cs="Times New Roman" w:eastAsia="Times New Roman"/>
        </w:rPr>
        <w:t>8</w:t>
      </w:r>
    </w:p>
    <w:p>
      <w:pPr>
        <w:spacing w:line="360" w:lineRule="auto" w:before="0" w:after="0"/>
        <w:ind w:firstLine="0" w:left="709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2.1. Предлагаемые зоны и виды учебных мероприятий</w:t>
      </w:r>
      <w:r>
        <w:tab/>
      </w:r>
      <w:r>
        <w:rPr>
          <w:sz w:val="28"/>
          <w:rFonts w:ascii="Times New Roman" w:hAnsi="Times New Roman" w:cs="Times New Roman" w:eastAsia="Times New Roman"/>
        </w:rPr>
        <w:t>8</w:t>
      </w:r>
    </w:p>
    <w:p>
      <w:pPr>
        <w:spacing w:line="360" w:lineRule="auto" w:before="0" w:after="0"/>
        <w:ind w:firstLine="0" w:left="709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2.2. Этапы реализации и критерии будущей проверки</w:t>
      </w:r>
      <w:r>
        <w:tab/>
      </w:r>
      <w:r>
        <w:rPr>
          <w:sz w:val="28"/>
          <w:rFonts w:ascii="Times New Roman" w:hAnsi="Times New Roman" w:cs="Times New Roman" w:eastAsia="Times New Roman"/>
        </w:rPr>
        <w:t>10</w:t>
      </w:r>
    </w:p>
    <w:p>
      <w:pPr>
        <w:spacing w:line="360" w:lineRule="auto" w:before="0" w:after="0"/>
        <w:ind w:firstLine="0" w:left="0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Заключение</w:t>
      </w:r>
      <w:r>
        <w:tab/>
      </w:r>
      <w:r>
        <w:rPr>
          <w:sz w:val="28"/>
          <w:rFonts w:ascii="Times New Roman" w:hAnsi="Times New Roman" w:cs="Times New Roman" w:eastAsia="Times New Roman"/>
        </w:rPr>
        <w:t>12</w:t>
      </w:r>
    </w:p>
    <w:p>
      <w:pPr>
        <w:spacing w:line="360" w:lineRule="auto" w:before="0" w:after="0"/>
        <w:ind w:firstLine="0" w:left="0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Список использованных источников</w:t>
      </w:r>
      <w:r>
        <w:tab/>
      </w:r>
      <w:r>
        <w:rPr>
          <w:sz w:val="28"/>
          <w:rFonts w:ascii="Times New Roman" w:hAnsi="Times New Roman" w:cs="Times New Roman" w:eastAsia="Times New Roman"/>
        </w:rPr>
        <w:t>14</w:t>
      </w:r>
      <w:r>
        <w:fldChar w:fldCharType="end"/>
      </w:r>
    </w:p>
    <w:p>
      <w:pPr>
        <w:pStyle w:val="Heading1"/>
        <w:pageBreakBefore/>
      </w:pPr>
      <w:r>
        <w:t>Введение</w:t>
      </w:r>
    </w:p>
    <w:p>
      <w:bookmarkStart w:id="21" w:name="sc_body_21"/>
      <w:pPr/>
      <w:r>
        <w:t>Современные города сталкиваются с растущими климатическими рисками, что делает вопрос устойчивости городской инфраструктуры особенно актуальным. Одним из ключевых направлений адаптации к этим рискам является озеленение, которое может значительно улучшить качество городской среды. Школьные дворы, будучи местом, где дети проводят большую часть своего времени, являются идеальной площадкой для внедрения практик озеленения и создания более комфортных условий для учебы и отдыха. Это не только способствует улучшению экологической ситуации, но и помогает формировать у детей позитивные отношения к природе.</w:t>
      </w:r>
      <w:bookmarkEnd w:id="21"/>
    </w:p>
    <w:p>
      <w:bookmarkStart w:id="22" w:name="sc_body_22"/>
      <w:pPr/>
      <w:r>
        <w:t>Данный проект направлен на разработку учебного предложения по озеленению условного школьного двора на основании научных материалов. В ходе работы будет обоснована актуальная учебная проблема, подготовлено проектное предложение и определены этапы реализации и критерии проверки. Создание зелёного пространства в школьном дворе может способствовать улучшению связей ребенка с природой и повышению его социальных компетенций. Исследования показывают, что дети, имеющие доступ к зелёным территориям, проявляют большую внимательность и менее подвержены стрессам [1].</w:t>
      </w:r>
      <w:bookmarkEnd w:id="22"/>
    </w:p>
    <w:p>
      <w:bookmarkStart w:id="23" w:name="sc_body_23"/>
      <w:pPr/>
      <w:r>
        <w:t>Однако внедрение таких проектов сталкивается с рядом барьеров. В первую очередь, это отсутствие четких методик оценки эффективности озеленения и недостаточная осведомленность образовательных учреждений о его преимуществах. Важно также учитывать, что не все школы располагают необходимыми ресурсами для создания и поддержания зелёных пространств. Тем не менее, успешные примеры интеграции озеленения в образовательные процессы показывают, что такие меры могут быть реализованы даже в условиях ограниченного бюджета, при условии правильного подхода к планированию и реализации [1].</w:t>
      </w:r>
      <w:bookmarkEnd w:id="23"/>
    </w:p>
    <w:p>
      <w:bookmarkStart w:id="24" w:name="sc_body_24"/>
      <w:pPr/>
      <w:r>
        <w:t>Проект «Зелёный школьный двор» представляет собой важный шаг к интеграции принципов устойчивого развития в образовательный процесс. Он не только отвечает на вызовы, связанные с изменением климата, но и способствует формированию у детей ответственного отношения к окружающей среде. Подобные инициативы могут служить основой для более широких изменений в городском планировании и управлении, направленных на создание более устойчивых и экологически чистых городских пространств.</w:t>
      </w:r>
      <w:bookmarkEnd w:id="24"/>
    </w:p>
    <w:p>
      <w:pPr>
        <w:pStyle w:val="Heading1"/>
        <w:pageBreakBefore/>
      </w:pPr>
      <w:r>
        <w:t>1. Проблема и научное обоснование учебного проекта</w:t>
      </w:r>
    </w:p>
    <w:p>
      <w:pPr>
        <w:pStyle w:val="Heading2"/>
      </w:pPr>
      <w:r>
        <w:t>1.1. Климатические риски и роль зелёных пространств</w:t>
      </w:r>
    </w:p>
    <w:p>
      <w:bookmarkStart w:id="27" w:name="sc_body_27"/>
      <w:pPr/>
      <w:r>
        <w:t>Зелёные пространства в городских условиях играют ключевую роль в снижении климатических рисков, связанных с изменением климата и его последствиями. С увеличением температуры воздуха и частотой экстремальных погодных условий, таких как сильные дожди и засухи, необходимость в создании и поддержании зелёных территорий становится всё более актуальной. Исследования показывают, что зелёные пространства могут помочь в смягчении эффекта «городского теплового острова», способствуя снижению температуры и улучшению качества воздуха. Они также способствуют повышению биоразнообразия и обеспечивают места обитания для различных видов флоры и фауны, что, в свою очередь, способствует устойчивости экосистем [1].</w:t>
      </w:r>
      <w:bookmarkEnd w:id="27"/>
    </w:p>
    <w:p>
      <w:bookmarkStart w:id="28" w:name="sc_body_28"/>
      <w:pPr/>
      <w:r>
        <w:t>Зелёные школьные дворы не только повышают эстетическую привлекательность, но и создают уникальные возможности для образовательных инициатив, направленных на экологическое сознание учащихся. Учащиеся, взаимодействуя с природой, развивают навыки, необходимые для будущего, осознают важность устойчивого развития и учатся заботиться об окружающей среде. Такой контакт с природой может значительно улучшить психологическое состояние детей, снижая уровень стресса и повышая когнитивные способности [1].</w:t>
      </w:r>
      <w:bookmarkEnd w:id="28"/>
    </w:p>
    <w:p>
      <w:bookmarkStart w:id="29" w:name="sc_body_29"/>
      <w:pPr/>
      <w:r>
        <w:t>Однако внедрение зелёных пространств в школьные дворы требует комплексного подхода. Необходимо учитывать существующие климатические условия, тип почвы, доступность воды и другие экосистемные факторы. Также важно учитывать потребности и предпочтения учащихся, чтобы создать среду, которая будет не только функциональной, но и привлекательной для использования. Применение принципов устойчивого дизайна и управления ресурсами может привести к созданию эффективных и долговечных зелёных пространств [1].</w:t>
      </w:r>
      <w:bookmarkEnd w:id="29"/>
    </w:p>
    <w:p>
      <w:bookmarkStart w:id="30" w:name="sc_body_30"/>
      <w:pPr/>
      <w:r>
        <w:t>Несмотря на очевидные преимущества, внедрение зелёных школьных дворов может столкнуться с определёнными ограничениями. Это может быть связано как с финансовыми ресурсами, так и с нехваткой знаний о лучших практиках озеленения. Необходима поддержка со стороны образовательных учреждений и местных властей, чтобы обеспечить необходимое внимание и ресурсы для успешного внедрения таких проектов.</w:t>
      </w:r>
      <w:bookmarkEnd w:id="30"/>
    </w:p>
    <w:p>
      <w:bookmarkStart w:id="31" w:name="sc_body_31"/>
      <w:pPr/>
      <w:r>
        <w:t>Зелёные школьные дворы представляют собой важный элемент в стратегии климатической адаптации. Их создание и поддержка требуют совместных усилий со стороны всех заинтересованных сторон, включая учеников, учителей, родителей и местное сообщество. Эффективное использование зелёных пространств в образовательной среде может стать частью более широкой стратегии по адаптации к климатическим рискам и улучшению общего качества жизни в городах.</w:t>
      </w:r>
      <w:bookmarkEnd w:id="31"/>
    </w:p>
    <w:p>
      <w:pPr>
        <w:pStyle w:val="Heading2"/>
      </w:pPr>
      <w:r>
        <w:t>1.2. Условная модель школьного двора и ограничения исходных данных</w:t>
      </w:r>
    </w:p>
    <w:p>
      <w:bookmarkStart w:id="33" w:name="sc_body_33"/>
      <w:pPr/>
      <w:r>
        <w:t>Для реализации учебного проекта «Зелёный школьный двор» необходимо разработать условную модель, которая учитывает как экологические, так и образовательные аспекты. Важно понимать, что школьный двор, как элемент городской инфраструктуры, представляет собой уникальную экосистему, которая должна быть адаптирована к климатическим рискам. Эти риски включают повышение температуры, увеличение количества осадков, а также изменение видового разнообразия растений и животных в городской среде.</w:t>
      </w:r>
      <w:bookmarkEnd w:id="33"/>
    </w:p>
    <w:p>
      <w:bookmarkStart w:id="34" w:name="sc_body_34"/>
      <w:pPr/>
      <w:r>
        <w:t>В рамках данного проекта условная модель школьного двора может включать в себя различные зоны: зеленые насаждения, учебные площадки, зоны отдыха и площадки для практических занятий. Каждая из этих зон будет выполнять специфические функции, способствующие не только улучшению экологической ситуации, но и повышению уровня экологического сознания у детей. Зелёные насаждения могут способствовать улучшению микроклимата и созданию благоприятной атмосферы для обучения, что подтверждается исследованиями, показывающими, что дети, имеющие доступ к зелёным пространствам, демонстрируют более положительное отношение к природе и более высокие социальные компетенции [1].</w:t>
      </w:r>
      <w:bookmarkEnd w:id="34"/>
    </w:p>
    <w:p>
      <w:bookmarkStart w:id="35" w:name="sc_body_35"/>
      <w:pPr/>
      <w:r>
        <w:t>Однако применение условной модели ограничено рядом факторов. Во-первых, необходимо учитывать специфику местных климатических условий и тип растений, которые могут быть использованы в озеленении. Не все виды деревьев и кустарников будут устойчивы к местным климатическим условиям, что может затруднить реализацию проекта. Во-вторых, финансовые ограничения также могут стать серьезным барьером, так как создание и поддержание зелёных пространств требует значительных затрат. Наконец, социальные аспекты, такие как восприятие родителями и школьным сообществом необходимости в изменениях, могут влиять на успех проекта. Учебные заведения, где родители и учителя активно участвуют в принятии решений, как правило, демонстрируют более высокий уровень успешности в реализации подобных инициатив.</w:t>
      </w:r>
      <w:bookmarkEnd w:id="35"/>
    </w:p>
    <w:p>
      <w:bookmarkStart w:id="36" w:name="sc_body_36"/>
      <w:pPr/>
      <w:r>
        <w:t>Важно также отметить, что условная модель должна быть гибкой и адаптируемой. Проведение предварительных исследований и опросов среди учащихся и учителей поможет выявить наиболее потребные элементы школьного двора, а также определить, какие зоны будут наиболее эффективны для реализации учебного процесса. Эта обратная связь является важной для корректировки модели и её соответствия реальным нуждам сообщества. Проект «Зелёный школьный двор» не только улучшает экологическую ситуацию, но и создает возможности для активного участия учеников в формировании их образовательной среды.</w:t>
      </w:r>
      <w:bookmarkEnd w:id="36"/>
    </w:p>
    <w:p>
      <w:bookmarkStart w:id="37" w:name="sc_body_37"/>
      <w:pPr/>
      <w:r>
        <w:t>Условная модель школьного двора должна основываться на комплексном подходе, учитывающем как экологические, так и социальные аспекты. Понимание ограничений и возможностей, связанных с реализацией проекта, позволит создать более устойчивую и эффективную образовательную среду.</w:t>
      </w:r>
      <w:bookmarkEnd w:id="37"/>
    </w:p>
    <w:p>
      <w:pPr>
        <w:pStyle w:val="Heading1"/>
        <w:pageBreakBefore/>
      </w:pPr>
      <w:r>
        <w:t>2. Проектное предложение «Зелёный школьный двор»</w:t>
      </w:r>
    </w:p>
    <w:p>
      <w:pPr>
        <w:pStyle w:val="Heading2"/>
      </w:pPr>
      <w:r>
        <w:t>2.1. Предлагаемые зоны и виды учебных мероприятий</w:t>
      </w:r>
    </w:p>
    <w:p>
      <w:bookmarkStart w:id="40" w:name="sc_body_40"/>
      <w:pPr/>
      <w:r>
        <w:t>В рамках проекта «Зелёный школьный двор» необходимо выделить зоны, которые будут способствовать не только озеленению, но и разнообразным учебным мероприятиям, направленным на формирование экологического сознания у учащихся, развитие социальных компетенций и их связь с природой. Основными зонами могут стать: учебные огороды, экологические тропы, зоны для отдыха и научные площадки.</w:t>
      </w:r>
      <w:bookmarkEnd w:id="40"/>
    </w:p>
    <w:p>
      <w:bookmarkStart w:id="41" w:name="sc_body_41"/>
      <w:pPr/>
      <w:r>
        <w:t>Учебные огороды представляют собой пространство, где учащиеся могут на практике изучать основы экологии, ботаники и агрономии. Посадка и уход за растениями не только развивают практические навыки, но и способствуют формированию ответственности за окружающую среду. Такой подход позволяет создать условия для организации междисциплинарных уроков, которые объединяют темы экологии, биологии и экономики.</w:t>
      </w:r>
      <w:bookmarkEnd w:id="41"/>
    </w:p>
    <w:p>
      <w:bookmarkStart w:id="42" w:name="sc_body_42"/>
      <w:pPr/>
      <w:r>
        <w:t>Экологические тропы — это другая важная зона, которая позволит учащимся ознакомиться с местной флорой и фауной. Создание таких маршрутов с информационными стендами, где будут представлены растения и животные, поможет детям развивать наблюдательность и уважение к природе. Подобные мероприятия могут включать экскурсии и практикумы, способствующие углублению знаний о экосистемах и взаимодействии человека с природой.</w:t>
      </w:r>
      <w:bookmarkEnd w:id="42"/>
    </w:p>
    <w:p>
      <w:bookmarkStart w:id="43" w:name="sc_body_43"/>
      <w:pPr/>
      <w:r>
        <w:t>Зоны для отдыха должны быть оформлены с использованием натуральных материалов и озеленения. Эти пространства будут служить не только местом для отдыха, но и площадкой для организации внеклассных мероприятий, таких как экологические фестивали и мастер-классы. Важно, чтобы дети не только осваивали теоретические знания, но и имели возможность применять их на практике в комфортной и вдохновляющей обстановке.</w:t>
      </w:r>
      <w:bookmarkEnd w:id="43"/>
    </w:p>
    <w:p>
      <w:bookmarkStart w:id="44" w:name="sc_body_44"/>
      <w:pPr/>
      <w:r>
        <w:t>Научные площадки могут включать в себя лаборатории для проведения опытов и исследований в области экологии. Например, изучение качества воды, почвы или воздуха может стать основой для научных проектов, что в свою очередь способствует развитию критического мышления и научного подхода у учащихся. Такие исследования могут быть связаны с реальными экологическими проблемами, что повысит значимость учебного процесса.</w:t>
      </w:r>
      <w:bookmarkEnd w:id="44"/>
    </w:p>
    <w:p>
      <w:bookmarkStart w:id="45" w:name="sc_body_45"/>
      <w:pPr/>
      <w:r>
        <w:t>С точки зрения педагогического подхода, важно учитывать, что интеграция зелёных пространств в образовательный процесс требует не только физического преобразования школьного двора, но и пересмотра методов преподавания. Необходимо создать условия, способствующие активному обучению, где учащиеся могут работать в группах, делиться идеями и проводить исследования, что поможет развивать их социальные навыки и командный дух.</w:t>
      </w:r>
      <w:bookmarkEnd w:id="45"/>
    </w:p>
    <w:p>
      <w:bookmarkStart w:id="46" w:name="sc_body_46"/>
      <w:pPr/>
      <w:r>
        <w:t>Создание «зелёного школьного двора» не должно рассматриваться исключительно как благоустройство территории. Это более комплексная задача, которая включает в себя формирование нового подхода к образованию, способствующего развитию экологического сознания и устойчивого отношения к природе. Ожидается, что такие инициативы повлияют на общее качество образовательного процесса и помогут учащимся развить навыки, необходимые для решения современных экологических проблем, таких как изменение климата и потеря биоразнообразия.</w:t>
      </w:r>
      <w:bookmarkEnd w:id="46"/>
    </w:p>
    <w:p>
      <w:bookmarkStart w:id="47" w:name="sc_body_47"/>
      <w:pPr/>
      <w:r>
        <w:t>Использование зелёных пространств в образовательной среде может стать частью более широкой стратегии по адаптации к климатическим рискам и улучшению общего качества жизни в городах. Привлечение детей к активному взаимодействию с природой поможет не только повысить их осведомлённость об экологических проблемах, но и укрепить связь с окружающим миром, что является важным шагом к более устойчивому будущему [1].</w:t>
      </w:r>
      <w:bookmarkEnd w:id="47"/>
    </w:p>
    <w:p>
      <w:pPr>
        <w:pStyle w:val="Heading2"/>
      </w:pPr>
      <w:r>
        <w:t>2.2. Этапы реализации и критерии будущей проверки</w:t>
      </w:r>
    </w:p>
    <w:p>
      <w:bookmarkStart w:id="49" w:name="sc_body_49"/>
      <w:pPr/>
      <w:r>
        <w:t>Реализация проекта «Зелёный школьный двор» требует системного подхода, включающего несколько ключевых этапов, каждый из которых направлен на достижение определённых целей и результатов. Первый этап включает в себя оценку текущего состояния школьного двора. Важно провести детальный анализ имеющихся ресурсов, таких как площадь, тип почвы, наличие существующих зелёных насаждений и инфраструктуры. На этом этапе также следует определить потребности учащихся и педагогов в отношении образовательных мероприятий, направленных на формирование экологического сознания.</w:t>
      </w:r>
      <w:bookmarkEnd w:id="49"/>
    </w:p>
    <w:p>
      <w:bookmarkStart w:id="50" w:name="sc_body_50"/>
      <w:pPr/>
      <w:r>
        <w:t>Второй этап сосредоточен на проектировании и планировании. Здесь важно создать концептуальную модель, которая будет включать разнообразные зоны, такие как учебные огороды, экологические тропы и зоны отдыха. Необходимо учитывать климатические условия и особенности местности для выбора подходящих растений и конструктивных решений. При этом важно привлечь к обсуждению всех заинтересованных сторон: учителей, родителей и самих учеников. Это поможет создать пространство, которое отвечает их потребностям и интересам.</w:t>
      </w:r>
      <w:bookmarkEnd w:id="50"/>
    </w:p>
    <w:p>
      <w:bookmarkStart w:id="51" w:name="sc_body_51"/>
      <w:pPr/>
      <w:r>
        <w:t>Третий этап заключается в непосредственной реализации проекта, который включает в себя озеленение, создание необходимых инфраструктур и организацию учебных мероприятий. На этом этапе следует также предусмотреть вовлечение учащихся в процесс создания и ухода за зелёными пространствами, что способствует укреплению их связи с природой и формированию социальных компетенций.</w:t>
      </w:r>
      <w:bookmarkEnd w:id="51"/>
    </w:p>
    <w:p>
      <w:bookmarkStart w:id="52" w:name="sc_body_52"/>
      <w:pPr/>
      <w:r>
        <w:t>Четвёртый этап — мониторинг и оценка. Необходимо разработать систему критериев, позволяющую оценить эффективность созданного пространства и его влияние на учащихся. Критерии могут включать улучшение экологического сознания, уровень вовлеченности учащихся в проект и изменения в их отношениях с природой. Например, регулярные опросы и анкетирования могут помочь в оценке изменений в восприятии природы и уровне стресса у детей, что в свою очередь может быть связано с дизайном школьного двора. Исследования показывают, что создание зелёных школьных дворов может позитивно влиять на восстановительные процессы у детей, особенно у тех, кто имеет меньший контакт с природой [1].</w:t>
      </w:r>
      <w:bookmarkEnd w:id="52"/>
    </w:p>
    <w:p>
      <w:bookmarkStart w:id="53" w:name="sc_body_53"/>
      <w:pPr/>
      <w:r>
        <w:t>Критерии будущей проверки должны основываться на количественных и качественных показателях, таких как рост интереса к экологии, участие в проектах и изменения в поведении учащихся. Важно, чтобы результаты мониторинга были прозрачными и доступными для всех участников проекта, что позволит учесть их мнение для дальнейшего улучшения школьного двора и образовательного процесса.</w:t>
      </w:r>
      <w:bookmarkEnd w:id="53"/>
    </w:p>
    <w:p>
      <w:bookmarkStart w:id="54" w:name="sc_body_54"/>
      <w:pPr/>
      <w:r>
        <w:t>В конечном счёте, проект «Зелёный школьный двор» может стать не только инструментом для адаптации к климатическим рискам, но и важным шагом к формированию нового поколения, обладающего высоким уровнем экологического сознания и социальных компетенций. Эффективная реализация проекта может служить основой для создания более устойчивых и дружелюбных к окружающей среде образовательных пространств.</w:t>
      </w:r>
      <w:bookmarkEnd w:id="54"/>
    </w:p>
    <w:p>
      <w:pPr>
        <w:pStyle w:val="Heading1"/>
        <w:pageBreakBefore/>
      </w:pPr>
      <w:r>
        <w:t>Заключение</w:t>
      </w:r>
    </w:p>
    <w:p>
      <w:bookmarkStart w:id="56" w:name="sc_body_56"/>
      <w:pPr/>
      <w:r>
        <w:t>Заключение учебной работы «Зелёный школьный двор: учебный проект климатической адаптации» позволяет подвести итоги проделанной работы и оценить достигнутые результаты.</w:t>
      </w:r>
      <w:bookmarkEnd w:id="56"/>
    </w:p>
    <w:p>
      <w:bookmarkStart w:id="57" w:name="sc_body_57"/>
      <w:pPr/>
      <w:r>
        <w:t>Во-первых, установлено, что зелёные пространства в школьной среде имеют значительное влияние на снижение климатических рисков и улучшение устойчивости образовательных учреждений. Эти пространства помогают не только в борьбе с последствиями изменения климата, но и в формировании экологического сознания у учащихся [1]. Эффективное использование зелёных насаждений в школьных дворах может стать важным шагом к адаптации к изменяющимся климатическим условиям.</w:t>
      </w:r>
      <w:bookmarkEnd w:id="57"/>
    </w:p>
    <w:p>
      <w:bookmarkStart w:id="58" w:name="sc_body_58"/>
      <w:pPr/>
      <w:r>
        <w:t>Во-вторых, проектная модель «Зелёный школьный двор» выявила критически важные аспекты, связанные с образовательными инициативами, направленными на развитие социальных компетенций у учащихся. Предлагаемые зоны и виды учебных мероприятий, такие как учебные огороды и экологические тропы, способствуют более глубокому взаимодействию детей с природой. Это взаимодействие обогащает их образовательный опыт и помогает формировать позитивные отношения к природным экосистемам [1].</w:t>
      </w:r>
      <w:bookmarkEnd w:id="58"/>
    </w:p>
    <w:p>
      <w:bookmarkStart w:id="59" w:name="sc_body_59"/>
      <w:pPr/>
      <w:r>
        <w:t>В-третьих, этапы реализации проекта и критерии оценки его успеха показывают необходимость системного подхода и комплексного планирования. Каждый этап направлен на достижение конкретных результатов, что позволяет создать устойчивую образовательную среду, способствующую не только озеленению, но и развитию у детей ответственности за окружающую среду. Это подчеркивает важность долгосрочной стратегии в реализации таких проектов [2].</w:t>
      </w:r>
      <w:bookmarkEnd w:id="59"/>
    </w:p>
    <w:p>
      <w:bookmarkStart w:id="60" w:name="sc_body_60"/>
      <w:pPr/>
      <w:r>
        <w:t>Проект «Зелёный школьный двор» представляет собой многообещающую инициативу, направленную на адаптацию образовательных учреждений к климатическим изменениям. Он иллюстрирует, как интеграция зелёных пространств может не только снизить климатические риски, но и стать основой для формирования устойчивого экологического сознания среди подрастающего поколения. Создание таких пространств может инициировать более широкие изменения в городском планировании и образовательных подходах, что является ключевым для формирования более устойчивых сообществ в будущем.</w:t>
      </w:r>
      <w:bookmarkEnd w:id="60"/>
    </w:p>
    <w:p>
      <w:pPr>
        <w:pStyle w:val="Heading1"/>
        <w:pageBreakBefore/>
      </w:pPr>
      <w:r>
        <w:t>Список использованных источников</w:t>
      </w:r>
    </w:p>
    <w:p>
      <w:pPr>
        <w:keepNext w:val="0"/>
        <w:keepLines/>
        <w:spacing w:before="0" w:after="120" w:line="276" w:lineRule="auto"/>
        <w:ind w:left="425" w:hanging="425"/>
        <w:jc w:val="left"/>
      </w:pPr>
      <w:r>
        <w:rPr>
          <w:rFonts w:ascii="Times New Roman" w:hAnsi="Times New Roman"/>
          <w:b w:val="0"/>
          <w:sz w:val="28"/>
        </w:rPr>
        <w:t>1. Luís S., Dias R., Lima M. L. Greener Schoolyards, Greener Futures? Greener Schoolyards Buffer Decreased Contact With Nature and Are Linked to Connectedness to Nature. Frontiers in Psychology. 2020; 11. https://doi.org/10.3389/fpsyg.2020.567882</w:t>
      </w:r>
    </w:p>
    <w:p>
      <w:pPr>
        <w:keepNext w:val="0"/>
        <w:keepLines/>
        <w:spacing w:before="0" w:after="120" w:line="276" w:lineRule="auto"/>
        <w:ind w:left="425" w:hanging="425"/>
        <w:jc w:val="left"/>
      </w:pPr>
      <w:r>
        <w:rPr>
          <w:rFonts w:ascii="Times New Roman" w:hAnsi="Times New Roman"/>
          <w:b w:val="0"/>
          <w:sz w:val="28"/>
        </w:rPr>
        <w:t>2. Alonzi R. Searching for the EU Political Identity: Experience of the Italian Yellow-Green Government (2018-2019). RUDN Journal of Political Science. 2020; 22(1). https://doi.org/10.22363/2313-1438-2020-22-1-92-104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709"/>
      <w:jc w:val="both"/>
    </w:pPr>
    <w:rPr>
      <w:sz w:val="28"/>
      <w:rFonts w:ascii="Times New Roman" w:hAnsi="Times New Roman" w:cs="Times New Roman" w:eastAsia="Times New Roman"/>
      <w:color w:val="000000"/>
      <w:szCs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240" w:line="360" w:lineRule="auto"/>
      <w:ind w:firstLine="0"/>
      <w:jc w:val="center"/>
      <w:outlineLvl w:val="0"/>
    </w:pPr>
    <w:rPr>
      <w:b/>
      <w:bCs/>
      <w:color w:val="000000"/>
      <w:sz w:val="32"/>
      <w:szCs w:val="32"/>
      <w:rFonts w:ascii="Times New Roman" w:hAnsi="Times New Roman" w:cs="Times New Roman" w:eastAsia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360" w:lineRule="auto"/>
      <w:ind w:firstLine="0"/>
      <w:jc w:val="left"/>
      <w:outlineLvl w:val="1"/>
    </w:pPr>
    <w:rPr>
      <w:b/>
      <w:bCs/>
      <w:color w:val="000000"/>
      <w:sz w:val="28"/>
      <w:szCs w:val="28"/>
      <w:rFonts w:ascii="Times New Roman" w:hAnsi="Times New Roman" w:cs="Times New Roman" w:eastAsia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