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before="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Наименование вуза ____________________</w:t>
      </w:r>
    </w:p>
    <w:p>
      <w:pPr>
        <w:spacing w:line="240" w:lineRule="auto" w:before="12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Кафедра ____________________</w:t>
      </w:r>
    </w:p>
    <w:p>
      <w:pPr>
        <w:spacing w:line="240" w:lineRule="auto" w:before="2400" w:after="0"/>
        <w:ind w:firstLine="0"/>
        <w:jc w:val="center"/>
      </w:pPr>
      <w:r>
        <w:rPr>
          <w:b/>
          <w:sz w:val="32"/>
          <w:rFonts w:ascii="Times New Roman" w:hAnsi="Times New Roman" w:cs="Times New Roman" w:eastAsia="Times New Roman"/>
        </w:rPr>
        <w:t>Доклад</w:t>
      </w:r>
    </w:p>
    <w:p>
      <w:pPr>
        <w:spacing w:line="240" w:lineRule="auto" w:before="240" w:after="0"/>
        <w:ind w:firstLine="0"/>
        <w:jc w:val="center"/>
      </w:pPr>
      <w:r>
        <w:rPr>
          <w:b/>
          <w:sz w:val="32"/>
          <w:rFonts w:ascii="Times New Roman" w:hAnsi="Times New Roman" w:cs="Times New Roman" w:eastAsia="Times New Roman"/>
        </w:rPr>
        <w:t>на тему: «Современные подходы к климатической адаптации городов»</w:t>
      </w:r>
    </w:p>
    <w:p>
      <w:pPr>
        <w:spacing w:line="240" w:lineRule="auto" w:before="240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ФИО студента ____________________</w:t>
      </w:r>
    </w:p>
    <w:p>
      <w:pPr>
        <w:spacing w:line="240" w:lineRule="auto" w:before="12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Группа ____________________</w:t>
      </w:r>
    </w:p>
    <w:p>
      <w:pPr>
        <w:spacing w:line="240" w:lineRule="auto" w:before="12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Руководитель ____________________</w:t>
      </w:r>
    </w:p>
    <w:p>
      <w:pPr>
        <w:spacing w:line="240" w:lineRule="auto" w:before="240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2026</w:t>
      </w:r>
    </w:p>
    <w:p>
      <w:r>
        <w:br w:type="page"/>
      </w:r>
    </w:p>
    <w:p>
      <w:pPr>
        <w:spacing w:line="360" w:lineRule="auto" w:after="240"/>
        <w:ind w:firstLine="0"/>
        <w:jc w:val="center"/>
      </w:pPr>
      <w:r>
        <w:rPr>
          <w:b/>
          <w:sz w:val="28"/>
          <w:rFonts w:ascii="Times New Roman" w:hAnsi="Times New Roman" w:cs="Times New Roman" w:eastAsia="Times New Roman"/>
        </w:rPr>
        <w:t>Содержание</w:t>
      </w:r>
    </w:p>
    <w:p>
      <w:pPr>
        <w:spacing w:line="240" w:lineRule="auto"/>
        <w:ind w:firstLine="0"/>
      </w:pPr>
      <w:r>
        <w:rPr>
          <w:rFonts w:ascii="Times New Roman" w:hAnsi="Times New Roman"/>
          <w:sz w:val="28"/>
        </w:rPr>
        <w:fldChar w:fldCharType="begin"/>
        <w:instrText xml:space="preserve">TOC \o "1-3" \h \z \u</w:instrText>
        <w:fldChar w:fldCharType="separate"/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Введение</w:t>
      </w:r>
      <w:r>
        <w:tab/>
      </w:r>
      <w:r>
        <w:rPr>
          <w:sz w:val="28"/>
          <w:rFonts w:ascii="Times New Roman" w:hAnsi="Times New Roman" w:cs="Times New Roman" w:eastAsia="Times New Roman"/>
        </w:rPr>
        <w:t>3</w:t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1. Риски и направления адаптации</w:t>
      </w:r>
      <w:r>
        <w:tab/>
      </w:r>
      <w:r>
        <w:rPr>
          <w:sz w:val="28"/>
          <w:rFonts w:ascii="Times New Roman" w:hAnsi="Times New Roman" w:cs="Times New Roman" w:eastAsia="Times New Roman"/>
        </w:rPr>
        <w:t>4</w:t>
      </w:r>
    </w:p>
    <w:p>
      <w:pPr>
        <w:spacing w:line="360" w:lineRule="auto" w:before="0" w:after="0"/>
        <w:ind w:firstLine="0" w:left="709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1.1. Городская уязвимость и ветровые риски</w:t>
      </w:r>
      <w:r>
        <w:tab/>
      </w:r>
      <w:r>
        <w:rPr>
          <w:sz w:val="28"/>
          <w:rFonts w:ascii="Times New Roman" w:hAnsi="Times New Roman" w:cs="Times New Roman" w:eastAsia="Times New Roman"/>
        </w:rPr>
        <w:t>4</w:t>
      </w:r>
    </w:p>
    <w:p>
      <w:pPr>
        <w:spacing w:line="360" w:lineRule="auto" w:before="0" w:after="0"/>
        <w:ind w:firstLine="0" w:left="709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1.2. Меры адаптации и границы переноса результатов</w:t>
      </w:r>
      <w:r>
        <w:tab/>
      </w:r>
      <w:r>
        <w:rPr>
          <w:sz w:val="28"/>
          <w:rFonts w:ascii="Times New Roman" w:hAnsi="Times New Roman" w:cs="Times New Roman" w:eastAsia="Times New Roman"/>
        </w:rPr>
        <w:t>5</w:t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2. Оценка и внедрение адаптационных мер</w:t>
      </w:r>
      <w:r>
        <w:tab/>
      </w:r>
      <w:r>
        <w:rPr>
          <w:sz w:val="28"/>
          <w:rFonts w:ascii="Times New Roman" w:hAnsi="Times New Roman" w:cs="Times New Roman" w:eastAsia="Times New Roman"/>
        </w:rPr>
        <w:t>8</w:t>
      </w:r>
    </w:p>
    <w:p>
      <w:pPr>
        <w:spacing w:line="360" w:lineRule="auto" w:before="0" w:after="0"/>
        <w:ind w:firstLine="0" w:left="709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2.1. ГИС и зелёная инфраструктура</w:t>
      </w:r>
      <w:r>
        <w:tab/>
      </w:r>
      <w:r>
        <w:rPr>
          <w:sz w:val="28"/>
          <w:rFonts w:ascii="Times New Roman" w:hAnsi="Times New Roman" w:cs="Times New Roman" w:eastAsia="Times New Roman"/>
        </w:rPr>
        <w:t>8</w:t>
      </w:r>
    </w:p>
    <w:p>
      <w:pPr>
        <w:spacing w:line="360" w:lineRule="auto" w:before="0" w:after="0"/>
        <w:ind w:firstLine="0" w:left="709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2.2. Валидация результатов оценки</w:t>
      </w:r>
      <w:r>
        <w:tab/>
      </w:r>
      <w:r>
        <w:rPr>
          <w:sz w:val="28"/>
          <w:rFonts w:ascii="Times New Roman" w:hAnsi="Times New Roman" w:cs="Times New Roman" w:eastAsia="Times New Roman"/>
        </w:rPr>
        <w:t>9</w:t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Заключение</w:t>
      </w:r>
      <w:r>
        <w:tab/>
      </w:r>
      <w:r>
        <w:rPr>
          <w:sz w:val="28"/>
          <w:rFonts w:ascii="Times New Roman" w:hAnsi="Times New Roman" w:cs="Times New Roman" w:eastAsia="Times New Roman"/>
        </w:rPr>
        <w:t>12</w:t>
      </w:r>
    </w:p>
    <w:p>
      <w:pPr>
        <w:spacing w:line="360" w:lineRule="auto" w:before="0" w:after="0"/>
        <w:ind w:firstLine="0" w:left="0"/>
        <w:tabs>
          <w:tab w:val="right" w:leader="dot" w:pos="9356"/>
        </w:tabs>
      </w:pPr>
      <w:r>
        <w:rPr>
          <w:b w:val="0"/>
          <w:sz w:val="28"/>
          <w:rFonts w:ascii="Times New Roman" w:hAnsi="Times New Roman" w:cs="Times New Roman" w:eastAsia="Times New Roman"/>
        </w:rPr>
        <w:t>Список использованных источников</w:t>
      </w:r>
      <w:r>
        <w:tab/>
      </w:r>
      <w:r>
        <w:rPr>
          <w:sz w:val="28"/>
          <w:rFonts w:ascii="Times New Roman" w:hAnsi="Times New Roman" w:cs="Times New Roman" w:eastAsia="Times New Roman"/>
        </w:rPr>
        <w:t>14</w:t>
      </w:r>
      <w:r>
        <w:fldChar w:fldCharType="end"/>
      </w:r>
    </w:p>
    <w:p>
      <w:pPr>
        <w:pStyle w:val="Heading1"/>
        <w:pageBreakBefore/>
      </w:pPr>
      <w:r>
        <w:t>Введение</w:t>
      </w:r>
    </w:p>
    <w:p>
      <w:bookmarkStart w:id="21" w:name="sc_body_21"/>
      <w:pPr/>
      <w:r>
        <w:t>Цель доклада — сопоставить способы обоснования городской климатической адаптации и определить границы переноса исследовательских результатов. Климатическая адаптация городов охватывает защиту населения и изменение городской среды в ответ на климатические угрозы. В обзоре городских планов Sheehan и соавторов уязвимость связывается с плотностью населения, городским островом тепла и расположением многих городов у побережий и водных путей; среди краткосрочных угроз названы жара, штормы и наводнения [1]. В отличие от сокращения выбросов, адаптация в этом обзоре рассматривается как способ уменьшить либо избежать вреда. Такое разграничение позволяет обсуждать защиту жителей, не приписывая адаптации выполнение задач климатического смягчения [1].</w:t>
      </w:r>
      <w:bookmarkEnd w:id="21"/>
    </w:p>
    <w:p>
      <w:bookmarkStart w:id="22" w:name="sc_body_22"/>
      <w:pPr/>
      <w:r>
        <w:t>Современные подходы целесообразно рассмотреть на разных уровнях: оценка городской политики, пространственный анализ зелёной инфраструктуры и проверка осуществимости конкретных мер. В китайском исследовании CACCP использована оценка Synthetic DID [2]; в работе о Тегеране объединены карты температуры поверхности, растительности и связности зелёных участков [3]. Исследование Пуэрто-Морасана предлагает учитывать местные приоритеты при оценке осуществимости, причём его эмпирическая область — сельское хозяйство и животноводство, а не городская инфраструктура [4]. В докладе эти подходы сопоставляются с обязательным различением их задач и границ.</w:t>
      </w:r>
      <w:bookmarkEnd w:id="22"/>
    </w:p>
    <w:p>
      <w:pPr>
        <w:pStyle w:val="Heading1"/>
        <w:pageBreakBefore/>
      </w:pPr>
      <w:r>
        <w:t>1. Риски и направления адаптации</w:t>
      </w:r>
    </w:p>
    <w:p>
      <w:pPr>
        <w:pStyle w:val="Heading2"/>
      </w:pPr>
      <w:r>
        <w:t>1.1. Городская уязвимость и ветровые риски</w:t>
      </w:r>
    </w:p>
    <w:p>
      <w:bookmarkStart w:id="25" w:name="sc_body_25"/>
      <w:pPr/>
      <w:r>
        <w:t>Штормовые угрозы рассматриваются в обзоре городской климатической адаптации наряду с жарой и наводнениями [1]. Однако такое перечисление не даёт оценки скорости ветра, вероятности повреждения зданий или эффективности конкретного защитного сооружения. Поэтому в настоящем разделе ветровые риски рассматриваются как задача постановки местной оценки: следует определить опасное событие, потенциально затрагиваемые объекты и последствия для населения. Предлагаемая постановка не является расчётом ветровой нагрузки и не заменяет его результатами исследований других климатических угроз.</w:t>
      </w:r>
      <w:bookmarkEnd w:id="25"/>
    </w:p>
    <w:p>
      <w:bookmarkStart w:id="26" w:name="sc_body_26"/>
      <w:pPr/>
      <w:r>
        <w:t>Программу CACCP следует использовать как пример оценки общей климатической устойчивости, сохраняя границы её показателей. Состав выборки бассейна Хуанхэ авторы формулируют так: «57 cities, including nine pilot cities and 48 non-pilot cities»; авторы сообщают положительную оценку среднего эффекта программы на индекс устойчивости [2]. Этот результат не следует трактовать как измеренное снижение ветровой нагрузки на здания. Применительно к ветровым рискам предлагается отдельно проверять, относится ли выбранный показатель к повреждениям от ветра или характеризует более широкую способность города к адаптации.</w:t>
      </w:r>
      <w:bookmarkEnd w:id="26"/>
    </w:p>
    <w:p>
      <w:bookmarkStart w:id="27" w:name="sc_body_27"/>
      <w:pPr/>
      <w:r>
        <w:t>Образование, общественное внимание к экологическим вопросам и ресурсная зависимость рассмотрены в китайской работе как модераторы эффекта CACCP: первые два имеют положительное, а зависимость от минеральных ресурсов — отрицательное направление оценённой связи [2]. Это результаты проверки механизмов общей программы в определённом региональном контексте. Они не доказывают, что просвещение само по себе уменьшает ущерб от штормов. Для местного проекта можно предложить отдельную проверку доступности предупреждений и готовности жителей действовать, не выдавая её за уже выполненный эмпирический тест.</w:t>
      </w:r>
      <w:bookmarkEnd w:id="27"/>
    </w:p>
    <w:p>
      <w:bookmarkStart w:id="28" w:name="sc_body_28"/>
      <w:pPr/>
      <w:r>
        <w:t>Для организационной стороны реагирования полезна структура обзора городских планов: в нём отдельно учитываются картирование угроз и уязвимости, предупреждения, готовность и реагирование, а также мониторинг здоровья [1]. При разработке защиты от штормов предлагается использовать эти направления как вопросы к проекту: кто получает предупреждение, какая служба отвечает за действие и каким образом будет проверен результат. Это предлагаемая схема проверки полноты плана, а не свидетельство снижения штормового ущерба в изученных городах; сам обзор регистрирует содержание планов и заявленное участие ведомств.</w:t>
      </w:r>
      <w:bookmarkEnd w:id="28"/>
    </w:p>
    <w:p>
      <w:bookmarkStart w:id="29" w:name="sc_body_29"/>
      <w:pPr/>
      <w:r>
        <w:t>Границу между видами угроз необходимо сохранять и при выборе природных решений. Обзор планов относит штормы к городским климатическим угрозам [1], тогда как исследование зелёных пространств Тегерана оценивает их тепловые характеристики и связность, отмечая ограничение пространственного разрешения данных [3]. Эти результаты не обосновывают использование озеленения как доказанного барьера против сильного ветра. Для такого решения в рамках будущего проекта предлагается запросить отдельную оценку ветрового воздействия; без неё вывод об эффективности защиты следует оставить открытым.</w:t>
      </w:r>
      <w:bookmarkEnd w:id="29"/>
    </w:p>
    <w:p>
      <w:pPr>
        <w:pStyle w:val="Heading2"/>
      </w:pPr>
      <w:r>
        <w:t>1.2. Меры адаптации и границы переноса результатов</w:t>
      </w:r>
    </w:p>
    <w:p>
      <w:bookmarkStart w:id="31" w:name="sc_body_31"/>
      <w:pPr/>
      <w:r>
        <w:t>Меры адаптации можно сопоставлять по содержанию и по возможности реализации. В обзоре городской адаптации выделены защита инфраструктуры, технологии, институциональные и поведенческие изменения, управление природными ресурсами и коммуникация рисков [1]. Для сравнения вариантов в докладе предлагается следующий порядок: сначала уточнить задачу и условия, затем описать меры и проверить препятствия к выполнению. Это аналитическая схема работы, а не результат измерения эффективности. Она не означает, что выбранная мера одинаково пригодна для всех угроз и территорий.</w:t>
      </w:r>
      <w:bookmarkEnd w:id="31"/>
    </w:p>
    <w:p>
      <w:bookmarkStart w:id="32" w:name="sc_body_32"/>
      <w:pPr/>
      <w:r>
        <w:t>В китайском случае важно различать масштаб программы и состав исследования. CACCP первоначально предусматривала 28 пилотных городов, но эмпирическая выборка рассматриваемой статьи включает 57 городов бассейна Хуанхэ, с формулировкой состава: «57 cities, including nine pilot cities and 48 non-pilot cities» [2]. Авторы используют данные за 2010–2022 годы и принимают 2017 год за начало политики. Следовательно, число 57 обозначает всю исследуемую панель, а не количество участников пилотной программы. Это разграничение необходимо для корректного описания того, между какими группами оценивается эффект.</w:t>
      </w:r>
      <w:bookmarkEnd w:id="32"/>
    </w:p>
    <w:p>
      <w:bookmarkStart w:id="33" w:name="sc_body_33"/>
      <w:pPr/>
      <w:r>
        <w:t>Авторы оценивают средний эффект CACCP на индекс климатической устойчивости величиной 0.0118 при уровне статистической значимости 5%; они специально отмечают нормирование данных в диапазоне 0–1 [2]. В проверке механизмов зелёные облигации выступают посредником, а образование, экологическое внимание и ресурсная зависимость — модераторами [2]. Эти оценки относятся к модели и её показателям. Их нельзя переводить в количество предотвращённых бедствий, прирост безопасности каждого жителя либо гарантированную отдачу любой выпускаемой зелёной облигации.</w:t>
      </w:r>
      <w:bookmarkEnd w:id="33"/>
    </w:p>
    <w:p>
      <w:bookmarkStart w:id="34" w:name="sc_body_34"/>
      <w:pPr/>
      <w:r>
        <w:t>Другой способ учёта условий предлагает исследование Пуэрто-Морасана. На примере сельского хозяйства и животноводства авторы оценили варианты адаптации и показали, что результаты меняются при включении местных приоритетов; в этом случае наиболее важными оказались экологическое и экономическое измерения [4]. Для городской задачи предлагается отдельно согласовать значимость критериев, прежде чем сравнивать возможные действия. Это предложение о процедуре принятия решения: оценки сельскохозяйственных вариантов не следует непосредственно переносить на здания или коммунальные системы.</w:t>
      </w:r>
      <w:bookmarkEnd w:id="34"/>
    </w:p>
    <w:p>
      <w:bookmarkStart w:id="35" w:name="sc_body_35"/>
      <w:pPr/>
      <w:r>
        <w:t>Перенос китайских оценок ограничен самим дизайном исследования. Авторы указывают на несовершенство статистики и системы индикаторов, зависимость выбора весов Synthetic DID от оптимизационных алгоритмов и трудности с несколькими вмешательствами; отдельно названы региональные и институциональные ограничения [2]. Для местного проекта предлагается отдельно определить участников обсуждения и способы учёта разных интересов. Поэтому для другого города целесообразно заново согласовать критерии и проверить доступные данные, а не считать исходный результат готовым прогнозом.</w:t>
      </w:r>
      <w:bookmarkEnd w:id="35"/>
    </w:p>
    <w:p>
      <w:bookmarkStart w:id="36" w:name="sc_body_36"/>
      <w:pPr/>
      <w:r>
        <w:t>При сопоставлении стран следует также различать сценарий и оценку уже осуществлённой политики. Работа по Индии моделирует климатические сценарии и обсуждает меры для воды, инфраструктуры, зданий, городского планирования и здоровья [5]; китайская работа оценивает эффект конкретной программы и признаёт ограничения её контекста [2]. Эти материалы отвечают на разные вопросы. В качестве вывода сравнения предлагается переносить прежде всего последовательность анализа — от угрозы к сектору и ответственному уровню управления, — а величину эффекта проверять в новом исследовании.</w:t>
      </w:r>
      <w:bookmarkEnd w:id="36"/>
    </w:p>
    <w:p>
      <w:pPr>
        <w:pStyle w:val="Heading1"/>
        <w:pageBreakBefore/>
      </w:pPr>
      <w:r>
        <w:t>2. Оценка и внедрение адаптационных мер</w:t>
      </w:r>
    </w:p>
    <w:p>
      <w:pPr>
        <w:pStyle w:val="Heading2"/>
      </w:pPr>
      <w:r>
        <w:t>2.1. ГИС и зелёная инфраструктура</w:t>
      </w:r>
    </w:p>
    <w:p>
      <w:bookmarkStart w:id="39" w:name="sc_body_39"/>
      <w:pPr/>
      <w:r>
        <w:t>Пространственный подход к зелёной инфраструктуре представлен исследованием Тегерана. Авторы использовали летние снимки Landsat за 2015 и 2023 годы, рассчитали температуру земной поверхности и индекс растительности NDVI, затем выделили тепловые кластеры и зелёные ядра [3]. Важно, что измеряемая здесь температура относится к поверхности. Описание этого подхода не следует подменять утверждением об измеренной температуре воздуха или индивидуальном тепловом воздействии на жителей: в рассматриваемом методическом фрагменте представлены другие переменные.</w:t>
      </w:r>
      <w:bookmarkEnd w:id="39"/>
    </w:p>
    <w:p>
      <w:bookmarkStart w:id="40" w:name="sc_body_40"/>
      <w:pPr/>
      <w:r>
        <w:t>Связность зелёных участков в этой работе моделируется с помощью Circuitscape и теории электрических цепей; сопротивление задаётся по пространственным характеристикам, включая растительность, землепользование и температуру поверхности [3]. Результатом служит карта модельной плотности тока, используемая для описания связности и узких мест. Электрический ток здесь является величиной модели, а не полевым измерением движения прохладного воздуха. Поэтому такую карту целесообразно интерпретировать как средство пространственной диагностики, сохраняя различие между моделью и наблюдаемым физическим процессом.</w:t>
      </w:r>
      <w:bookmarkEnd w:id="40"/>
    </w:p>
    <w:p>
      <w:bookmarkStart w:id="41" w:name="sc_body_41"/>
      <w:pPr/>
      <w:r>
        <w:t>Результаты Тегерана показывают неоднозначность отдельных показателей. Модельные потоки к 2023 году сильнее сосредоточены на севере города, что авторы связывают с пространственным дисбалансом зелёных зон [3]. Одновременно доля холодных пятен по метрике PLAND при доверительном уровне 99% снизилась с 55.67% до 49.84% [3]. Рост локальной связности, таким образом, не следует описывать как равномерное улучшение условий во всём городе. При обсуждении проекта предлагается отдельно оценивать площадь, конфигурацию и распределение зелёных участков.</w:t>
      </w:r>
      <w:bookmarkEnd w:id="41"/>
    </w:p>
    <w:p>
      <w:bookmarkStart w:id="42" w:name="sc_body_42"/>
      <w:pPr/>
      <w:r>
        <w:t>Практическое направление, предлагаемое авторами тегеранского исследования, — выявление ключевых узлов и разрывов зелёных коридоров для пространственного планирования и восстановления растительности [3]. Но они же отмечают, что тепловой канал Landsat с разрешением 100 метров ограничивает обнаружение небольших зелёных участков и мелкомасштабных температурных различий. Следовательно, отсутствие небольшого объекта на такой карте не следует считать доказательством отсутствия его охлаждающего вклада. Для решения на уровне квартала предлагается предварительно проверить достаточность разрешения данных.</w:t>
      </w:r>
      <w:bookmarkEnd w:id="42"/>
    </w:p>
    <w:p>
      <w:bookmarkStart w:id="43" w:name="sc_body_43"/>
      <w:pPr/>
      <w:r>
        <w:t>Сравнение с CACCP позволяет уточнить роль пространственного анализа. Китайская оценка рассматривает эффект политики на индекс устойчивости [2], а тегеранская работа — температуру поверхности и конфигурацию зелёной сети [3]. Эти результаты нельзя объединять в утверждение, будто ГИС уже доказала эффективность CACCP или влияние озеленения на здоровье населения. В качестве схемы дальнейшей оценки предлагается заранее выбрать нужный результат, после чего сопоставить его с подходящими данными и масштабом карты; ограничение обнаружения малых участков необходимо сохранить в интерпретации [3].</w:t>
      </w:r>
      <w:bookmarkEnd w:id="43"/>
    </w:p>
    <w:p>
      <w:pPr>
        <w:pStyle w:val="Heading2"/>
      </w:pPr>
      <w:r>
        <w:t>2.2. Валидация результатов оценки</w:t>
      </w:r>
    </w:p>
    <w:p>
      <w:bookmarkStart w:id="45" w:name="sc_body_45"/>
      <w:pPr/>
      <w:r>
        <w:t>Проверка результатов начинается с соответствия метода исследовательскому вопросу. В работе о CACCP Synthetic DID объединяет подбор весов для городов и временных периодов с оценкой различий; подбор весов предназначен приблизить дополитическую траекторию контрольной группы к траектории группы воздействия [2]. Авторы сообщают положительный средний эффект политики на индекс устойчивости. При изложении такого результата следует сохранять название показателя и состав сравниваемых групп: это оценка программы, а не непосредственное наблюдение предотвращённых потерь от каждого вида климатической опасности.</w:t>
      </w:r>
      <w:bookmarkEnd w:id="45"/>
    </w:p>
    <w:p>
      <w:bookmarkStart w:id="46" w:name="sc_body_46"/>
      <w:pPr/>
      <w:r>
        <w:t>Устойчивость оценки требует отдельного рассмотрения. Авторы китайской работы проверяли фиктивное начало политики в предшествующие годы и сообщают близкие к нулю оценки до её введения, отмечая исключение по статистической значимости для 2016 года [2]. Вместе с тем в разделе ограничений они признают зависимость Synthetic DID от оптимизационного выбора весов и трудности учёта нескольких вмешательств [2]. Эти оговорки следует приводить вместе с результатом: успешная проверка в рамках статьи не снимает всех вопросов о спецификации и не гарантирует воспроизводимость эффекта в другом городе.</w:t>
      </w:r>
      <w:bookmarkEnd w:id="46"/>
    </w:p>
    <w:p>
      <w:bookmarkStart w:id="47" w:name="sc_body_47"/>
      <w:pPr/>
      <w:r>
        <w:t>Проверку предполагаемых механизмов необходимо отделять от основной оценки эффекта. В статье о CACCP для анализа механизмов используются, в частности, пошаговая регрессия, тест Собеля и тройные разности; авторы сообщают посредническую роль зелёных облигаций и модерирующие роли образования, экологического внимания и ресурсной зависимости [2]. Это выводы конкретных модельных проверок. В проекте оценки предлагается формулировать отдельный вопрос для каждого механизма и сохранять исходные ограничения данных, вместо того чтобы считать перечень факторов универсальной инструкцией успешной адаптации.</w:t>
      </w:r>
      <w:bookmarkEnd w:id="47"/>
    </w:p>
    <w:p>
      <w:bookmarkStart w:id="48" w:name="sc_body_48"/>
      <w:pPr/>
      <w:r>
        <w:t>Для обзора планов валидация означает другую процедуру. В исследовании городского климатического здравоохранения извлечения данных проходили перекрёстную проверку, затем проводился общий аудит согласованности [1]. При этом фиксировались заявленные в планах действия и участвующие ведомства. Такая проверка укрепляет сопоставимость описаний, но сама по себе не измеряет снижение заболеваемости. Для использования результатов предлагается явно различать наличие действия в документе, его фактическое выполнение и оценку последствий.</w:t>
      </w:r>
      <w:bookmarkEnd w:id="48"/>
    </w:p>
    <w:p>
      <w:bookmarkStart w:id="49" w:name="sc_body_49"/>
      <w:pPr/>
      <w:r>
        <w:t>При оценке осуществимости важна прозрачность критериев. В исследовании Пуэрто-Морасана местные приоритеты изменяли оценки вариантов адаптации, а их значимость различалась в зависимости от контекста [4]. Для городской задачи предлагается документировать перечень препятствий, состав участников обсуждения и причины согласования критериев. Это предлагаемая процедура, а не описание выполненной в городе проверки. Оценку осуществимости нельзя выдавать за причинный эффект: для проверки последствий реализации потребуется отдельно определить результат и план наблюдения.</w:t>
      </w:r>
      <w:bookmarkEnd w:id="49"/>
    </w:p>
    <w:p>
      <w:bookmarkStart w:id="50" w:name="sc_body_50"/>
      <w:pPr/>
      <w:r>
        <w:t>Общую схему проверки предлагается строить с учётом типа доказательства. Для оценки политики следует сохранять ограничения индикаторов и метода, перечисленные авторами CACCP [2]; для пространственной диагностики — ограничение обнаружения малых зелёных участков [3]; для обзора планов — различие между заявленными действиями и результатами их выполнения [1]. Это позволяет предложить самостоятельные вопросы к выводу: что именно измерено, какой процедурой проверено и на какую территорию относится. Такая схема не присваивает исследованию более широкий результат, чем допускают его данные.</w:t>
      </w:r>
      <w:bookmarkEnd w:id="50"/>
    </w:p>
    <w:p>
      <w:pPr>
        <w:pStyle w:val="Heading1"/>
        <w:pageBreakBefore/>
      </w:pPr>
      <w:r>
        <w:t>Заключение</w:t>
      </w:r>
    </w:p>
    <w:p>
      <w:bookmarkStart w:id="52" w:name="sc_body_52"/>
      <w:pPr/>
      <w:r>
        <w:t>Рассмотренные работы демонстрируют разные способы обоснования городской адаптации. В исследовании CACCP положительная оценка эффекта на индекс климатической устойчивости получена для панели 57 городов бассейна Хуанхэ, охватывающей пилотные и непилотные города [2]. Этот результат необходимо сопровождать оговорками авторов о системе индикаторов, методе и региональном контексте. Он не доказывает одинаковую эффективность программы во всех городах и не заменяет оценки отдельных угроз, включая ветровые риски.</w:t>
      </w:r>
      <w:bookmarkEnd w:id="52"/>
    </w:p>
    <w:p>
      <w:bookmarkStart w:id="53" w:name="sc_body_53"/>
      <w:pPr/>
      <w:r>
        <w:t>Пространственный анализ Тегерана связывает рассмотрение зелёной инфраструктуры с картами температуры поверхности, ландшафтными метриками и моделью связности [3]. Концентрация связности на севере города показывает, почему локальное улучшение показателя не следует считать равномерным городским результатом. Ограничение разрешения тепловых данных дополнительно сужает выводы о небольших участках. Поэтому предлагается использовать такие карты для постановки приоритетов и последующей проверки решений, сохраняя различие между пространственной диагностикой и доказанным эффектом вмешательства.</w:t>
      </w:r>
      <w:bookmarkEnd w:id="53"/>
    </w:p>
    <w:p>
      <w:bookmarkStart w:id="54" w:name="sc_body_54"/>
      <w:pPr/>
      <w:r>
        <w:t>Осуществимость и управление требуют самостоятельного анализа. Исследование Пуэрто-Морасана показывает изменение оценок при включении местных приоритетов, но относится к сельскому хозяйству и животноводству [4]. Обзор городских планов, в свою очередь, учитывает заявленные действия и участие ведомств в защите здоровья [1]. Для городской практики предлагается сочетать проверку местных условий с ясным распределением ответственности; ни оценки сельскохозяйственных мер, ни содержание планов не следует выдавать за измеренное снижение городского климатического ущерба.</w:t>
      </w:r>
      <w:bookmarkEnd w:id="54"/>
    </w:p>
    <w:p>
      <w:bookmarkStart w:id="55" w:name="sc_body_55"/>
      <w:pPr/>
      <w:r>
        <w:t>Итоговый вывод доклада состоит в необходимости соотносить решение с угрозой, масштабом и видом доказательства. Сценарный анализ Индии, оценка китайской политики и пространственное исследование Тегерана имеют разные задачи и ограничения [5], [2], [3]. Поэтому предлагается сохранять последовательность: определить уязвимость, сформулировать вариант меры, проверить осуществимость и выбрать способ оценки результата. Для ветровой защиты отдельный расчёт и проверка эффекта остаются необходимой задачей будущего проекта; обсуждение общей устойчивости или охлаждения зелёными зонами их не заменяет.</w:t>
      </w:r>
      <w:bookmarkEnd w:id="55"/>
    </w:p>
    <w:p>
      <w:pPr>
        <w:pStyle w:val="Heading1"/>
        <w:pageBreakBefore/>
      </w:pPr>
      <w:r>
        <w:t>Список использованных источников</w:t>
      </w:r>
    </w:p>
    <w:p>
      <w:pPr>
        <w:keepNext w:val="0"/>
        <w:keepLines/>
        <w:spacing w:before="0" w:after="120" w:line="276" w:lineRule="auto"/>
        <w:ind w:left="425" w:hanging="425"/>
        <w:jc w:val="left"/>
      </w:pPr>
      <w:r>
        <w:rPr>
          <w:rFonts w:ascii="Times New Roman" w:hAnsi="Times New Roman"/>
          <w:b w:val="0"/>
          <w:sz w:val="28"/>
        </w:rPr>
        <w:t>1. Sheehan M. C., Khudairi F., Swaich G. S., et al. Urban climate-health governance: Charting the role of public health in large global city adaptation plans. PLOS Climate. 2022; 1(3). https://doi.org/10.1371/journal.pclm.0000012</w:t>
      </w:r>
    </w:p>
    <w:p>
      <w:pPr>
        <w:keepNext w:val="0"/>
        <w:keepLines/>
        <w:spacing w:before="0" w:after="120" w:line="276" w:lineRule="auto"/>
        <w:ind w:left="425" w:hanging="425"/>
        <w:jc w:val="left"/>
      </w:pPr>
      <w:r>
        <w:rPr>
          <w:rFonts w:ascii="Times New Roman" w:hAnsi="Times New Roman"/>
          <w:b w:val="0"/>
          <w:sz w:val="28"/>
        </w:rPr>
        <w:t>2. Yin A., Liu Z. How can climate adaptation policy enhance urban climate resilience? Empirical evidence from China. PLOS One. 2025; 20(11). https://doi.org/10.1371/journal.pone.0335736</w:t>
      </w:r>
    </w:p>
    <w:p>
      <w:pPr>
        <w:keepNext w:val="0"/>
        <w:keepLines/>
        <w:spacing w:before="0" w:after="120" w:line="276" w:lineRule="auto"/>
        <w:ind w:left="425" w:hanging="425"/>
        <w:jc w:val="left"/>
      </w:pPr>
      <w:r>
        <w:rPr>
          <w:rFonts w:ascii="Times New Roman" w:hAnsi="Times New Roman"/>
          <w:b w:val="0"/>
          <w:sz w:val="28"/>
        </w:rPr>
        <w:t>3. Omidighalehmohammadi Z., Morovati M., Karami P., et al. Spatiotemporal modeling of urban green space connectivity and landscape structure for climate adaptation in Tehran, Iran. PLOS One. 2026; 21(4). https://doi.org/10.1371/journal.pone.0341276</w:t>
      </w:r>
    </w:p>
    <w:p>
      <w:pPr>
        <w:keepNext w:val="0"/>
        <w:keepLines/>
        <w:spacing w:before="0" w:after="120" w:line="276" w:lineRule="auto"/>
        <w:ind w:left="425" w:hanging="425"/>
        <w:jc w:val="left"/>
      </w:pPr>
      <w:r>
        <w:rPr>
          <w:rFonts w:ascii="Times New Roman" w:hAnsi="Times New Roman"/>
          <w:b w:val="0"/>
          <w:sz w:val="28"/>
        </w:rPr>
        <w:t>4. Guillén Bolaños T., Scheffran J., García A., et al. Assessing the feasibility of climate adaptation options using local expertise and participatory approaches: The case of Puerto Morazán, Nicaragua. PLOS Climate. 2025; 4(10). https://doi.org/10.1371/journal.pclm.0000510</w:t>
      </w:r>
    </w:p>
    <w:p>
      <w:pPr>
        <w:keepNext w:val="0"/>
        <w:keepLines/>
        <w:spacing w:before="0" w:after="120" w:line="276" w:lineRule="auto"/>
        <w:ind w:left="425" w:hanging="425"/>
        <w:jc w:val="left"/>
      </w:pPr>
      <w:r>
        <w:rPr>
          <w:rFonts w:ascii="Times New Roman" w:hAnsi="Times New Roman"/>
          <w:b w:val="0"/>
          <w:sz w:val="28"/>
        </w:rPr>
        <w:t>5. Sethi M., Sharma R., Mohapatra S., et al. How to tackle complexity in urban climate resilience? Negotiating climate science, adaptation and multi-level governance in India. PLOS ONE. 2021; 16(7). https://doi.org/10.1371/journal.pone.0253904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sz w:val="28"/>
      <w:rFonts w:ascii="Times New Roman" w:hAnsi="Times New Roman" w:cs="Times New Roman" w:eastAsia="Times New Roman"/>
      <w:color w:val="000000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 w:line="360" w:lineRule="auto"/>
      <w:ind w:firstLine="0"/>
      <w:jc w:val="center"/>
      <w:outlineLvl w:val="0"/>
    </w:pPr>
    <w:rPr>
      <w:b/>
      <w:bCs/>
      <w:color w:val="000000"/>
      <w:sz w:val="32"/>
      <w:szCs w:val="32"/>
      <w:rFonts w:ascii="Times New Roman" w:hAnsi="Times New Roman" w:cs="Times New Roman" w:eastAsia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360" w:lineRule="auto"/>
      <w:ind w:firstLine="0"/>
      <w:jc w:val="left"/>
      <w:outlineLvl w:val="1"/>
    </w:pPr>
    <w:rPr>
      <w:b/>
      <w:bCs/>
      <w:color w:val="000000"/>
      <w:sz w:val="28"/>
      <w:szCs w:val="28"/>
      <w:rFonts w:ascii="Times New Roman" w:hAnsi="Times New Roman" w:cs="Times New Roman" w:eastAsia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